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5C" w:rsidRDefault="00BC645C" w:rsidP="00BC645C">
      <w:pPr>
        <w:spacing w:line="264" w:lineRule="auto"/>
        <w:jc w:val="both"/>
        <w:rPr>
          <w:rFonts w:cs="Arial"/>
          <w:b/>
          <w:sz w:val="28"/>
          <w:szCs w:val="28"/>
        </w:rPr>
      </w:pPr>
      <w:r>
        <w:rPr>
          <w:rFonts w:cs="Arial"/>
          <w:b/>
          <w:sz w:val="28"/>
          <w:szCs w:val="28"/>
        </w:rPr>
        <w:t xml:space="preserve">Members and Guidance </w:t>
      </w:r>
    </w:p>
    <w:p w:rsidR="00BC645C" w:rsidRDefault="00BC645C" w:rsidP="00BC645C">
      <w:pPr>
        <w:spacing w:line="264" w:lineRule="auto"/>
        <w:jc w:val="both"/>
        <w:rPr>
          <w:rFonts w:cs="Arial"/>
          <w:b/>
          <w:sz w:val="24"/>
          <w:szCs w:val="24"/>
        </w:rPr>
      </w:pPr>
    </w:p>
    <w:p w:rsidR="00BC645C" w:rsidRDefault="00BC645C" w:rsidP="00BC645C">
      <w:pPr>
        <w:spacing w:line="264" w:lineRule="auto"/>
        <w:jc w:val="both"/>
        <w:rPr>
          <w:rFonts w:cs="Arial"/>
          <w:b/>
        </w:rPr>
      </w:pPr>
      <w:r>
        <w:rPr>
          <w:rFonts w:cs="Arial"/>
          <w:b/>
        </w:rPr>
        <w:t>1.</w:t>
      </w:r>
      <w:r>
        <w:rPr>
          <w:rFonts w:cs="Arial"/>
          <w:b/>
        </w:rPr>
        <w:tab/>
        <w:t xml:space="preserve">Introduction </w:t>
      </w:r>
    </w:p>
    <w:p w:rsidR="00BC645C" w:rsidRDefault="00BC645C" w:rsidP="004D0577">
      <w:pPr>
        <w:spacing w:line="264" w:lineRule="auto"/>
        <w:ind w:left="709" w:hanging="709"/>
        <w:jc w:val="both"/>
        <w:rPr>
          <w:rFonts w:cs="Arial"/>
        </w:rPr>
      </w:pPr>
      <w:r>
        <w:rPr>
          <w:rFonts w:cs="Arial"/>
        </w:rPr>
        <w:tab/>
        <w:t>The Council is determined to provide excellent local government for the people of the Borough. It promotes and maintains high standards of conduct by Members and Co-opted Members and has adopted a Code of Conduct for Members, in line with its obligations under section 27(2) of the Localism Act 2011. To help Members understand their conduct responsibilities, they should make sure they read and understand th</w:t>
      </w:r>
      <w:r w:rsidR="004D0577">
        <w:rPr>
          <w:rFonts w:cs="Arial"/>
        </w:rPr>
        <w:t>e General Principles (pages 1 – 2) and Guidance on the Code</w:t>
      </w:r>
    </w:p>
    <w:p w:rsidR="004D0577" w:rsidRPr="004D0577" w:rsidRDefault="004D0577" w:rsidP="004D0577">
      <w:pPr>
        <w:spacing w:line="264" w:lineRule="auto"/>
        <w:ind w:left="709" w:hanging="709"/>
        <w:jc w:val="both"/>
        <w:rPr>
          <w:rFonts w:cs="Arial"/>
          <w:highlight w:val="yellow"/>
        </w:rPr>
      </w:pPr>
      <w:r>
        <w:rPr>
          <w:rFonts w:cs="Arial"/>
        </w:rPr>
        <w:t xml:space="preserve">           (pages 2 – 8) </w:t>
      </w:r>
    </w:p>
    <w:p w:rsidR="00BC645C" w:rsidRDefault="00BC645C" w:rsidP="00BC645C">
      <w:pPr>
        <w:spacing w:line="264" w:lineRule="auto"/>
        <w:ind w:left="709" w:hanging="709"/>
        <w:jc w:val="both"/>
        <w:rPr>
          <w:rFonts w:cs="Arial"/>
        </w:rPr>
      </w:pPr>
    </w:p>
    <w:p w:rsidR="00BC645C" w:rsidRDefault="00BC645C" w:rsidP="00BC645C">
      <w:pPr>
        <w:spacing w:line="264" w:lineRule="auto"/>
        <w:ind w:left="709" w:hanging="709"/>
        <w:jc w:val="both"/>
        <w:rPr>
          <w:rFonts w:cs="Arial"/>
          <w:b/>
        </w:rPr>
      </w:pPr>
      <w:r>
        <w:rPr>
          <w:rFonts w:cs="Arial"/>
          <w:b/>
        </w:rPr>
        <w:t xml:space="preserve">2. </w:t>
      </w:r>
      <w:r>
        <w:rPr>
          <w:rFonts w:cs="Arial"/>
          <w:b/>
        </w:rPr>
        <w:tab/>
        <w:t xml:space="preserve">General Principles of Conduct for Members and Co-opted Members </w:t>
      </w:r>
    </w:p>
    <w:p w:rsidR="00BC645C" w:rsidRDefault="00BC645C" w:rsidP="00BC645C">
      <w:pPr>
        <w:spacing w:line="264" w:lineRule="auto"/>
        <w:ind w:left="709" w:hanging="709"/>
        <w:jc w:val="both"/>
        <w:rPr>
          <w:rFonts w:cs="Arial"/>
        </w:rPr>
      </w:pPr>
      <w:r>
        <w:rPr>
          <w:rFonts w:cs="Arial"/>
        </w:rPr>
        <w:tab/>
        <w:t xml:space="preserve">The Code and the Guidance are based on the following General Principles. </w:t>
      </w:r>
    </w:p>
    <w:p w:rsidR="00BC645C" w:rsidRDefault="00BC645C" w:rsidP="00BC645C">
      <w:pPr>
        <w:spacing w:line="264" w:lineRule="auto"/>
        <w:ind w:left="709" w:hanging="709"/>
        <w:jc w:val="both"/>
        <w:rPr>
          <w:rFonts w:cs="Arial"/>
          <w:b/>
        </w:rPr>
      </w:pPr>
      <w:r>
        <w:rPr>
          <w:rFonts w:cs="Arial"/>
        </w:rPr>
        <w:t>2.1</w:t>
      </w:r>
      <w:r>
        <w:rPr>
          <w:rFonts w:cs="Arial"/>
          <w:b/>
        </w:rPr>
        <w:tab/>
        <w:t xml:space="preserve">General Principles </w:t>
      </w:r>
    </w:p>
    <w:p w:rsidR="00BC645C" w:rsidRDefault="00BC645C" w:rsidP="00BC645C">
      <w:pPr>
        <w:spacing w:line="264" w:lineRule="auto"/>
        <w:ind w:left="709" w:hanging="709"/>
        <w:jc w:val="both"/>
        <w:rPr>
          <w:rFonts w:cs="Arial"/>
        </w:rPr>
      </w:pPr>
      <w:r>
        <w:rPr>
          <w:rFonts w:cs="Arial"/>
        </w:rPr>
        <w:tab/>
        <w:t xml:space="preserve">Members and co-opted Members must behave according to the highest standards of personal conduct in everything they do as a Member. In particular they must observe the following principles of conduct, some of which are set out in law. </w:t>
      </w:r>
    </w:p>
    <w:p w:rsidR="00BC645C" w:rsidRDefault="00BC645C" w:rsidP="00BC645C">
      <w:pPr>
        <w:spacing w:line="264" w:lineRule="auto"/>
        <w:ind w:left="709" w:hanging="709"/>
        <w:jc w:val="both"/>
        <w:rPr>
          <w:rFonts w:cs="Arial"/>
          <w:b/>
        </w:rPr>
      </w:pPr>
      <w:r>
        <w:rPr>
          <w:rFonts w:cs="Arial"/>
        </w:rPr>
        <w:t>2.2</w:t>
      </w:r>
      <w:r>
        <w:rPr>
          <w:rFonts w:cs="Arial"/>
        </w:rPr>
        <w:tab/>
      </w:r>
      <w:r>
        <w:rPr>
          <w:rFonts w:cs="Arial"/>
          <w:b/>
        </w:rPr>
        <w:t xml:space="preserve">Selflessness </w:t>
      </w:r>
    </w:p>
    <w:p w:rsidR="00BC645C" w:rsidRDefault="00BC645C" w:rsidP="00BC645C">
      <w:pPr>
        <w:spacing w:line="264" w:lineRule="auto"/>
        <w:ind w:left="709" w:hanging="709"/>
        <w:jc w:val="both"/>
        <w:rPr>
          <w:rFonts w:cs="Arial"/>
        </w:rPr>
      </w:pPr>
      <w:r>
        <w:rPr>
          <w:rFonts w:cs="Arial"/>
        </w:rPr>
        <w:tab/>
        <w:t xml:space="preserve">Members should serve only the public interest and should never improperly confer an advantage or disadvantage on any person. </w:t>
      </w:r>
    </w:p>
    <w:p w:rsidR="00BC645C" w:rsidRDefault="00BC645C" w:rsidP="00BC645C">
      <w:pPr>
        <w:spacing w:line="264" w:lineRule="auto"/>
        <w:ind w:left="709" w:hanging="709"/>
        <w:jc w:val="both"/>
        <w:rPr>
          <w:rFonts w:cs="Arial"/>
          <w:b/>
        </w:rPr>
      </w:pPr>
      <w:r>
        <w:rPr>
          <w:rFonts w:cs="Arial"/>
        </w:rPr>
        <w:t>2.3</w:t>
      </w:r>
      <w:r>
        <w:rPr>
          <w:rFonts w:cs="Arial"/>
        </w:rPr>
        <w:tab/>
      </w:r>
      <w:r>
        <w:rPr>
          <w:rFonts w:cs="Arial"/>
          <w:b/>
        </w:rPr>
        <w:t xml:space="preserve">Honesty and Integrity </w:t>
      </w:r>
    </w:p>
    <w:p w:rsidR="00BC645C" w:rsidRDefault="00BC645C" w:rsidP="00BC645C">
      <w:pPr>
        <w:spacing w:line="264" w:lineRule="auto"/>
        <w:ind w:left="709" w:hanging="709"/>
        <w:jc w:val="both"/>
        <w:rPr>
          <w:rFonts w:cs="Arial"/>
        </w:rPr>
      </w:pPr>
      <w:r>
        <w:rPr>
          <w:rFonts w:cs="Arial"/>
        </w:rPr>
        <w:tab/>
        <w:t xml:space="preserve">Members should not place themselves in situations where their honesty and integrity may be questioned, should not behave improperly and should on all occasions avoid the appearance of such behaviour. </w:t>
      </w:r>
    </w:p>
    <w:p w:rsidR="00BC645C" w:rsidRDefault="00BC645C" w:rsidP="00BC645C">
      <w:pPr>
        <w:spacing w:line="264" w:lineRule="auto"/>
        <w:jc w:val="both"/>
        <w:rPr>
          <w:rFonts w:cs="Arial"/>
          <w:b/>
        </w:rPr>
      </w:pPr>
      <w:r>
        <w:rPr>
          <w:rFonts w:cs="Arial"/>
        </w:rPr>
        <w:t>2.4</w:t>
      </w:r>
      <w:r>
        <w:rPr>
          <w:rFonts w:cs="Arial"/>
          <w:b/>
        </w:rPr>
        <w:tab/>
        <w:t xml:space="preserve">Objectivity </w:t>
      </w:r>
    </w:p>
    <w:p w:rsidR="00BC645C" w:rsidRDefault="00BC645C" w:rsidP="00BC645C">
      <w:pPr>
        <w:spacing w:line="264" w:lineRule="auto"/>
        <w:ind w:left="709" w:hanging="709"/>
        <w:jc w:val="both"/>
        <w:rPr>
          <w:rFonts w:cs="Arial"/>
        </w:rPr>
      </w:pPr>
      <w:r>
        <w:rPr>
          <w:rFonts w:cs="Arial"/>
        </w:rPr>
        <w:tab/>
        <w:t xml:space="preserve">Members should make decisions on merit, including when making appointments, awarding contracts, or recommending individuals for rewards or benefits. </w:t>
      </w:r>
    </w:p>
    <w:p w:rsidR="00BC645C" w:rsidRDefault="00BC645C" w:rsidP="00BC645C">
      <w:pPr>
        <w:spacing w:line="264" w:lineRule="auto"/>
        <w:jc w:val="both"/>
        <w:rPr>
          <w:rFonts w:cs="Arial"/>
          <w:b/>
        </w:rPr>
      </w:pPr>
      <w:r>
        <w:rPr>
          <w:rFonts w:cs="Arial"/>
        </w:rPr>
        <w:t>2.5</w:t>
      </w:r>
      <w:r>
        <w:rPr>
          <w:rFonts w:cs="Arial"/>
        </w:rPr>
        <w:tab/>
      </w:r>
      <w:r>
        <w:rPr>
          <w:rFonts w:cs="Arial"/>
          <w:b/>
        </w:rPr>
        <w:t xml:space="preserve">Accountability </w:t>
      </w:r>
    </w:p>
    <w:p w:rsidR="00BC645C" w:rsidRDefault="00BC645C" w:rsidP="00BC645C">
      <w:pPr>
        <w:spacing w:line="264" w:lineRule="auto"/>
        <w:ind w:left="709" w:hanging="709"/>
        <w:jc w:val="both"/>
        <w:rPr>
          <w:rFonts w:cs="Arial"/>
        </w:rPr>
      </w:pPr>
      <w:r>
        <w:rPr>
          <w:rFonts w:cs="Arial"/>
        </w:rPr>
        <w:tab/>
        <w:t xml:space="preserve">Members should be accountable to the public for their actions and the manner in which they carry out their responsibilities, and should co-operate fully and honestly with any scrutiny appropriate to their particular office. </w:t>
      </w:r>
    </w:p>
    <w:p w:rsidR="00BC645C" w:rsidRDefault="00BC645C" w:rsidP="00BC645C">
      <w:pPr>
        <w:keepNext/>
        <w:keepLines/>
        <w:widowControl w:val="0"/>
        <w:spacing w:line="264" w:lineRule="auto"/>
        <w:ind w:left="709" w:hanging="709"/>
        <w:jc w:val="both"/>
        <w:rPr>
          <w:rFonts w:cs="Arial"/>
          <w:b/>
        </w:rPr>
      </w:pPr>
      <w:r>
        <w:rPr>
          <w:rFonts w:cs="Arial"/>
        </w:rPr>
        <w:t>2.6</w:t>
      </w:r>
      <w:r>
        <w:rPr>
          <w:rFonts w:cs="Arial"/>
          <w:b/>
        </w:rPr>
        <w:tab/>
        <w:t xml:space="preserve">Openness </w:t>
      </w:r>
    </w:p>
    <w:p w:rsidR="00BC645C" w:rsidRDefault="00BC645C" w:rsidP="00BC645C">
      <w:pPr>
        <w:keepNext/>
        <w:keepLines/>
        <w:widowControl w:val="0"/>
        <w:spacing w:line="264" w:lineRule="auto"/>
        <w:ind w:left="709" w:hanging="709"/>
        <w:jc w:val="both"/>
        <w:rPr>
          <w:rFonts w:cs="Arial"/>
        </w:rPr>
      </w:pPr>
      <w:r>
        <w:rPr>
          <w:rFonts w:cs="Arial"/>
        </w:rPr>
        <w:tab/>
        <w:t>Members should be as open as possible about their actions and those of their authority, and should be prepared to give reasons for those actions.</w:t>
      </w:r>
    </w:p>
    <w:p w:rsidR="00BC645C" w:rsidRDefault="00BC645C" w:rsidP="00BC645C">
      <w:pPr>
        <w:spacing w:line="264" w:lineRule="auto"/>
        <w:jc w:val="both"/>
        <w:rPr>
          <w:rFonts w:cs="Arial"/>
          <w:b/>
        </w:rPr>
      </w:pPr>
      <w:r>
        <w:rPr>
          <w:rFonts w:cs="Arial"/>
        </w:rPr>
        <w:t>2.7</w:t>
      </w:r>
      <w:r>
        <w:rPr>
          <w:rFonts w:cs="Arial"/>
          <w:b/>
        </w:rPr>
        <w:tab/>
        <w:t xml:space="preserve">Personal Judgement </w:t>
      </w:r>
    </w:p>
    <w:p w:rsidR="00BC645C" w:rsidRDefault="00BC645C" w:rsidP="00BC645C">
      <w:pPr>
        <w:spacing w:line="264" w:lineRule="auto"/>
        <w:ind w:left="709" w:hanging="709"/>
        <w:jc w:val="both"/>
        <w:rPr>
          <w:rFonts w:cs="Arial"/>
        </w:rPr>
      </w:pPr>
      <w:r>
        <w:rPr>
          <w:rFonts w:cs="Arial"/>
        </w:rPr>
        <w:tab/>
        <w:t xml:space="preserve">Members may take account of the views of others, including their political groups, but should reach their own conclusions on the issues before them and act in accordance with those conclusions. </w:t>
      </w:r>
    </w:p>
    <w:p w:rsidR="00BC645C" w:rsidRDefault="00BC645C" w:rsidP="00BC645C">
      <w:pPr>
        <w:keepNext/>
        <w:keepLines/>
        <w:widowControl w:val="0"/>
        <w:spacing w:line="264" w:lineRule="auto"/>
        <w:jc w:val="both"/>
        <w:rPr>
          <w:rFonts w:cs="Arial"/>
          <w:b/>
        </w:rPr>
      </w:pPr>
      <w:r>
        <w:rPr>
          <w:rFonts w:cs="Arial"/>
        </w:rPr>
        <w:t>2.8</w:t>
      </w:r>
      <w:r>
        <w:rPr>
          <w:rFonts w:cs="Arial"/>
          <w:b/>
        </w:rPr>
        <w:tab/>
        <w:t xml:space="preserve">Respect for Others </w:t>
      </w:r>
    </w:p>
    <w:p w:rsidR="00BC645C" w:rsidRDefault="00BC645C" w:rsidP="00BC645C">
      <w:pPr>
        <w:keepNext/>
        <w:keepLines/>
        <w:widowControl w:val="0"/>
        <w:spacing w:line="264" w:lineRule="auto"/>
        <w:ind w:left="709" w:hanging="709"/>
        <w:jc w:val="both"/>
        <w:rPr>
          <w:rFonts w:cs="Arial"/>
        </w:rPr>
      </w:pPr>
      <w:r>
        <w:rPr>
          <w:rFonts w:cs="Arial"/>
        </w:rPr>
        <w:tab/>
        <w:t xml:space="preserve">Members should promote equality by not discriminating unlawfully against any person, and by treating people with respect, regardless of their race, age, religion, gender, sexual orientation or disability. They should respect the impartiality and integrity of the authority’s statutory officers, and its other employees. </w:t>
      </w:r>
    </w:p>
    <w:p w:rsidR="00BC645C" w:rsidRDefault="00BC645C" w:rsidP="00BC645C">
      <w:pPr>
        <w:spacing w:line="264" w:lineRule="auto"/>
        <w:jc w:val="both"/>
        <w:rPr>
          <w:rFonts w:cs="Arial"/>
          <w:b/>
        </w:rPr>
      </w:pPr>
      <w:r>
        <w:rPr>
          <w:rFonts w:cs="Arial"/>
        </w:rPr>
        <w:t>2.9</w:t>
      </w:r>
      <w:r>
        <w:rPr>
          <w:rFonts w:cs="Arial"/>
          <w:b/>
        </w:rPr>
        <w:tab/>
        <w:t>Duty to Uphold the Law</w:t>
      </w:r>
    </w:p>
    <w:p w:rsidR="00BC645C" w:rsidRDefault="00BC645C" w:rsidP="00BC645C">
      <w:pPr>
        <w:spacing w:line="264" w:lineRule="auto"/>
        <w:ind w:left="709" w:hanging="709"/>
        <w:jc w:val="both"/>
        <w:rPr>
          <w:rFonts w:cs="Arial"/>
        </w:rPr>
      </w:pPr>
      <w:r>
        <w:rPr>
          <w:rFonts w:cs="Arial"/>
          <w:b/>
        </w:rPr>
        <w:t xml:space="preserve"> </w:t>
      </w:r>
      <w:r>
        <w:rPr>
          <w:rFonts w:cs="Arial"/>
        </w:rPr>
        <w:tab/>
        <w:t xml:space="preserve">Members should uphold the law and, on all occasions, act in accordance with the trust that the public is entitled to place in them. </w:t>
      </w:r>
    </w:p>
    <w:p w:rsidR="00BC645C" w:rsidRDefault="00BC645C" w:rsidP="00BC645C">
      <w:pPr>
        <w:spacing w:line="264" w:lineRule="auto"/>
        <w:jc w:val="both"/>
        <w:rPr>
          <w:rFonts w:cs="Arial"/>
          <w:b/>
        </w:rPr>
      </w:pPr>
      <w:r>
        <w:rPr>
          <w:rFonts w:cs="Arial"/>
        </w:rPr>
        <w:t>2.10</w:t>
      </w:r>
      <w:r>
        <w:rPr>
          <w:rFonts w:cs="Arial"/>
          <w:b/>
        </w:rPr>
        <w:tab/>
        <w:t xml:space="preserve">Stewardship </w:t>
      </w:r>
    </w:p>
    <w:p w:rsidR="00BC645C" w:rsidRDefault="00BC645C" w:rsidP="00BC645C">
      <w:pPr>
        <w:spacing w:line="264" w:lineRule="auto"/>
        <w:ind w:left="709" w:hanging="709"/>
        <w:jc w:val="both"/>
        <w:rPr>
          <w:rFonts w:cs="Arial"/>
        </w:rPr>
      </w:pPr>
      <w:r>
        <w:rPr>
          <w:rFonts w:cs="Arial"/>
        </w:rPr>
        <w:tab/>
        <w:t xml:space="preserve">Members should do whatever they are able to do to ensure that their authorities use their resources prudently and in accordance with the law. </w:t>
      </w:r>
    </w:p>
    <w:p w:rsidR="00BC645C" w:rsidRDefault="00BC645C" w:rsidP="00BC645C">
      <w:pPr>
        <w:spacing w:line="264" w:lineRule="auto"/>
        <w:jc w:val="both"/>
        <w:rPr>
          <w:rFonts w:cs="Arial"/>
          <w:b/>
        </w:rPr>
      </w:pPr>
      <w:r>
        <w:rPr>
          <w:rFonts w:cs="Arial"/>
        </w:rPr>
        <w:t>2.11</w:t>
      </w:r>
      <w:r>
        <w:rPr>
          <w:rFonts w:cs="Arial"/>
          <w:b/>
        </w:rPr>
        <w:tab/>
        <w:t xml:space="preserve">Leadership </w:t>
      </w:r>
    </w:p>
    <w:p w:rsidR="00BC645C" w:rsidRDefault="00BC645C" w:rsidP="00BC645C">
      <w:pPr>
        <w:spacing w:line="264" w:lineRule="auto"/>
        <w:ind w:left="709" w:hanging="709"/>
        <w:jc w:val="both"/>
        <w:rPr>
          <w:rFonts w:cs="Arial"/>
        </w:rPr>
      </w:pPr>
      <w:r>
        <w:rPr>
          <w:rFonts w:cs="Arial"/>
        </w:rPr>
        <w:tab/>
        <w:t xml:space="preserve">Members should promote and support these principles by leadership, and by example, and should act in a way that secures or preserves public confidence. </w:t>
      </w:r>
    </w:p>
    <w:p w:rsidR="00BC645C" w:rsidRDefault="00BC645C" w:rsidP="00BC645C">
      <w:pPr>
        <w:spacing w:line="264" w:lineRule="auto"/>
        <w:ind w:left="709" w:hanging="709"/>
        <w:jc w:val="both"/>
        <w:rPr>
          <w:rFonts w:cs="Arial"/>
        </w:rPr>
      </w:pPr>
    </w:p>
    <w:p w:rsidR="00BC645C" w:rsidRDefault="00BC645C" w:rsidP="00BC645C">
      <w:pPr>
        <w:spacing w:line="264" w:lineRule="auto"/>
        <w:jc w:val="both"/>
        <w:rPr>
          <w:rFonts w:cs="Arial"/>
          <w:b/>
        </w:rPr>
      </w:pPr>
      <w:r>
        <w:rPr>
          <w:rFonts w:cs="Arial"/>
          <w:b/>
        </w:rPr>
        <w:t xml:space="preserve">3. </w:t>
      </w:r>
      <w:r>
        <w:rPr>
          <w:rFonts w:cs="Arial"/>
          <w:b/>
        </w:rPr>
        <w:tab/>
        <w:t xml:space="preserve">Training </w:t>
      </w:r>
    </w:p>
    <w:p w:rsidR="00BC645C" w:rsidRDefault="00BC645C" w:rsidP="00BC645C">
      <w:pPr>
        <w:spacing w:line="264" w:lineRule="auto"/>
        <w:ind w:left="709" w:hanging="709"/>
        <w:jc w:val="both"/>
        <w:rPr>
          <w:rFonts w:cs="Arial"/>
        </w:rPr>
      </w:pPr>
      <w:r>
        <w:rPr>
          <w:rFonts w:cs="Arial"/>
        </w:rPr>
        <w:t xml:space="preserve">3.1 </w:t>
      </w:r>
      <w:r>
        <w:rPr>
          <w:rFonts w:cs="Arial"/>
        </w:rPr>
        <w:tab/>
        <w:t xml:space="preserve">Each Member should participate in training on the Code of Conduct/ethical standards, in addition to any current requirements to receive training for specific Committees, for example Planning or Licensing Committees. </w:t>
      </w:r>
    </w:p>
    <w:p w:rsidR="00BC645C" w:rsidRDefault="00BC645C" w:rsidP="00BC645C">
      <w:pPr>
        <w:numPr>
          <w:ilvl w:val="1"/>
          <w:numId w:val="1"/>
        </w:numPr>
        <w:spacing w:line="264" w:lineRule="auto"/>
        <w:ind w:left="709" w:hanging="709"/>
        <w:jc w:val="both"/>
        <w:rPr>
          <w:rFonts w:cs="Arial"/>
        </w:rPr>
      </w:pPr>
      <w:r>
        <w:rPr>
          <w:rFonts w:cs="Arial"/>
        </w:rPr>
        <w:t xml:space="preserve">      Records of attendance will be maintained</w:t>
      </w:r>
      <w:r w:rsidR="004D0577">
        <w:rPr>
          <w:rFonts w:cs="Arial"/>
        </w:rPr>
        <w:t xml:space="preserve"> by the Town Clerk</w:t>
      </w:r>
      <w:r>
        <w:rPr>
          <w:rFonts w:cs="Arial"/>
        </w:rPr>
        <w:t xml:space="preserve"> and any apparent failure to attend training will be notified in the first place to the Member concerned and if not rectified at the next available session, will be referred to the Standards Committee for further action. </w:t>
      </w:r>
    </w:p>
    <w:p w:rsidR="00BC645C" w:rsidRDefault="00BC645C" w:rsidP="00BC645C">
      <w:pPr>
        <w:spacing w:line="264" w:lineRule="auto"/>
        <w:jc w:val="both"/>
        <w:rPr>
          <w:rFonts w:cs="Arial"/>
        </w:rPr>
      </w:pPr>
    </w:p>
    <w:p w:rsidR="00BC645C" w:rsidRDefault="00BC645C" w:rsidP="00BC645C">
      <w:pPr>
        <w:jc w:val="both"/>
        <w:rPr>
          <w:rFonts w:cs="Arial"/>
          <w:b/>
        </w:rPr>
      </w:pPr>
      <w:r>
        <w:rPr>
          <w:rFonts w:cs="Arial"/>
          <w:b/>
        </w:rPr>
        <w:t xml:space="preserve">THE CODE OF CONDUCT </w:t>
      </w:r>
    </w:p>
    <w:p w:rsidR="00BC645C" w:rsidRDefault="00BC645C" w:rsidP="00BC645C">
      <w:pPr>
        <w:jc w:val="both"/>
        <w:rPr>
          <w:rFonts w:cs="Arial"/>
        </w:rPr>
      </w:pPr>
    </w:p>
    <w:p w:rsidR="00BC645C" w:rsidRDefault="00BC645C" w:rsidP="00BC645C">
      <w:pPr>
        <w:jc w:val="both"/>
        <w:rPr>
          <w:rFonts w:cs="Arial"/>
          <w:b/>
        </w:rPr>
      </w:pPr>
      <w:r>
        <w:rPr>
          <w:rFonts w:cs="Arial"/>
          <w:b/>
        </w:rPr>
        <w:t xml:space="preserve">Part 1   General provisions </w:t>
      </w:r>
    </w:p>
    <w:p w:rsidR="00BC645C" w:rsidRDefault="00BC645C" w:rsidP="00BC645C">
      <w:pPr>
        <w:jc w:val="both"/>
        <w:rPr>
          <w:rFonts w:cs="Arial"/>
          <w:b/>
        </w:rPr>
      </w:pPr>
      <w:r>
        <w:rPr>
          <w:rFonts w:cs="Arial"/>
          <w:b/>
        </w:rPr>
        <w:t>1.</w:t>
      </w:r>
      <w:r>
        <w:rPr>
          <w:rFonts w:cs="Arial"/>
          <w:b/>
        </w:rPr>
        <w:tab/>
        <w:t xml:space="preserve">Introduction and interpretation </w:t>
      </w:r>
    </w:p>
    <w:p w:rsidR="00367F53" w:rsidRDefault="00BC645C" w:rsidP="00BC645C">
      <w:pPr>
        <w:jc w:val="both"/>
        <w:rPr>
          <w:rFonts w:cs="Arial"/>
        </w:rPr>
      </w:pPr>
      <w:r>
        <w:rPr>
          <w:rFonts w:cs="Arial"/>
        </w:rPr>
        <w:t>1.1</w:t>
      </w:r>
      <w:r>
        <w:rPr>
          <w:rFonts w:cs="Arial"/>
        </w:rPr>
        <w:tab/>
        <w:t xml:space="preserve">This Code applies to you as a Member </w:t>
      </w:r>
      <w:r w:rsidR="00367F53">
        <w:rPr>
          <w:rFonts w:cs="Arial"/>
        </w:rPr>
        <w:t xml:space="preserve">of the Westhoughton Town Council                                                      </w:t>
      </w:r>
      <w:r>
        <w:rPr>
          <w:rFonts w:cs="Arial"/>
        </w:rPr>
        <w:t xml:space="preserve"> </w:t>
      </w:r>
    </w:p>
    <w:p w:rsidR="00BC645C" w:rsidRDefault="00367F53" w:rsidP="00BC645C">
      <w:pPr>
        <w:jc w:val="both"/>
        <w:rPr>
          <w:rFonts w:cs="Arial"/>
        </w:rPr>
      </w:pPr>
      <w:r>
        <w:rPr>
          <w:rFonts w:cs="Arial"/>
        </w:rPr>
        <w:t xml:space="preserve">            </w:t>
      </w:r>
      <w:r w:rsidR="00BC645C">
        <w:rPr>
          <w:rFonts w:cs="Arial"/>
        </w:rPr>
        <w:t xml:space="preserve">(the Council). </w:t>
      </w:r>
    </w:p>
    <w:p w:rsidR="00BC645C" w:rsidRDefault="00BC645C" w:rsidP="00BC645C">
      <w:pPr>
        <w:ind w:left="709" w:hanging="709"/>
        <w:jc w:val="both"/>
        <w:rPr>
          <w:rFonts w:cs="Arial"/>
        </w:rPr>
      </w:pPr>
      <w:r>
        <w:rPr>
          <w:rFonts w:cs="Arial"/>
        </w:rPr>
        <w:t>1.2</w:t>
      </w:r>
      <w:r>
        <w:rPr>
          <w:rFonts w:cs="Arial"/>
        </w:rPr>
        <w:tab/>
        <w:t xml:space="preserve"> It is your responsibility to comply with this Code. Failure to do so may result in a sanction being applied by the Council. Failure to take appropriate action in respect of a Disclosable Pecuniary Interest may result in a criminal conviction and a fine of up to £5,000 and /or disqualification from office for a period of up to 5 years.</w:t>
      </w:r>
    </w:p>
    <w:p w:rsidR="00BC645C" w:rsidRDefault="00BC645C" w:rsidP="00BC645C">
      <w:pPr>
        <w:ind w:left="709" w:hanging="709"/>
        <w:jc w:val="both"/>
        <w:rPr>
          <w:rFonts w:cs="Arial"/>
        </w:rPr>
      </w:pPr>
      <w:r>
        <w:rPr>
          <w:rFonts w:cs="Arial"/>
        </w:rPr>
        <w:t>1.3</w:t>
      </w:r>
      <w:r>
        <w:rPr>
          <w:rFonts w:cs="Arial"/>
        </w:rPr>
        <w:tab/>
        <w:t>In this Code “meeting” means any meeting of:</w:t>
      </w:r>
    </w:p>
    <w:p w:rsidR="00BC645C" w:rsidRDefault="00BC645C" w:rsidP="00BC645C">
      <w:pPr>
        <w:numPr>
          <w:ilvl w:val="0"/>
          <w:numId w:val="2"/>
        </w:numPr>
        <w:jc w:val="both"/>
        <w:rPr>
          <w:rFonts w:cs="Arial"/>
        </w:rPr>
      </w:pPr>
      <w:r>
        <w:rPr>
          <w:rFonts w:cs="Arial"/>
        </w:rPr>
        <w:t>the Council;</w:t>
      </w:r>
    </w:p>
    <w:p w:rsidR="00BC645C" w:rsidRDefault="00BC645C" w:rsidP="00367F53">
      <w:pPr>
        <w:numPr>
          <w:ilvl w:val="0"/>
          <w:numId w:val="2"/>
        </w:numPr>
        <w:ind w:left="1276" w:hanging="425"/>
        <w:jc w:val="both"/>
        <w:rPr>
          <w:rFonts w:cs="Arial"/>
        </w:rPr>
      </w:pPr>
      <w:r w:rsidRPr="00367F53">
        <w:rPr>
          <w:rFonts w:cs="Arial"/>
        </w:rPr>
        <w:t>any of the Council’s committees or sub-committees, joint committees or joint sub-committees; and</w:t>
      </w:r>
      <w:r w:rsidR="00367F53">
        <w:rPr>
          <w:rFonts w:cs="Arial"/>
        </w:rPr>
        <w:t xml:space="preserve"> </w:t>
      </w:r>
      <w:r>
        <w:rPr>
          <w:rFonts w:cs="Arial"/>
        </w:rPr>
        <w:t xml:space="preserve">“Member” includes a co-opted member and an appointed member of the Council. </w:t>
      </w:r>
    </w:p>
    <w:p w:rsidR="00BC645C" w:rsidRDefault="00BC645C" w:rsidP="00BC645C">
      <w:pPr>
        <w:ind w:left="720" w:hanging="720"/>
        <w:jc w:val="both"/>
        <w:rPr>
          <w:rFonts w:cs="Arial"/>
        </w:rPr>
      </w:pPr>
    </w:p>
    <w:p w:rsidR="00BC645C" w:rsidRDefault="00BC645C" w:rsidP="00BC645C">
      <w:pPr>
        <w:jc w:val="both"/>
        <w:rPr>
          <w:rFonts w:cs="Arial"/>
          <w:b/>
        </w:rPr>
      </w:pPr>
      <w:r>
        <w:rPr>
          <w:rFonts w:cs="Arial"/>
          <w:b/>
        </w:rPr>
        <w:t>2.</w:t>
      </w:r>
      <w:r>
        <w:rPr>
          <w:rFonts w:cs="Arial"/>
          <w:b/>
        </w:rPr>
        <w:tab/>
        <w:t xml:space="preserve">Scope </w:t>
      </w:r>
    </w:p>
    <w:p w:rsidR="00BC645C" w:rsidRDefault="00BC645C" w:rsidP="00BC645C">
      <w:pPr>
        <w:ind w:left="720" w:hanging="720"/>
        <w:jc w:val="both"/>
        <w:rPr>
          <w:rFonts w:cs="Arial"/>
        </w:rPr>
      </w:pPr>
      <w:r>
        <w:rPr>
          <w:rFonts w:cs="Arial"/>
        </w:rPr>
        <w:t>2.1</w:t>
      </w:r>
      <w:r>
        <w:rPr>
          <w:rFonts w:cs="Arial"/>
        </w:rPr>
        <w:tab/>
        <w:t xml:space="preserve">Subject to paragraphs 2.2 and 2.3, you must comply with this Code whenever you are acting as a Member and references to your official capacity are construed accordingly. </w:t>
      </w:r>
    </w:p>
    <w:p w:rsidR="00BC645C" w:rsidRDefault="00BC645C" w:rsidP="00BC645C">
      <w:pPr>
        <w:ind w:left="720" w:hanging="720"/>
        <w:jc w:val="both"/>
        <w:rPr>
          <w:rFonts w:cs="Arial"/>
        </w:rPr>
      </w:pPr>
      <w:r>
        <w:rPr>
          <w:rFonts w:cs="Arial"/>
        </w:rPr>
        <w:t>2.2</w:t>
      </w:r>
      <w:r>
        <w:rPr>
          <w:rFonts w:cs="Arial"/>
        </w:rPr>
        <w:tab/>
        <w:t xml:space="preserve">this Code does not have effect in relation to your conduct other than where it is in your official capacity. </w:t>
      </w:r>
    </w:p>
    <w:p w:rsidR="00BC645C" w:rsidRDefault="00BC645C" w:rsidP="00BC645C">
      <w:pPr>
        <w:jc w:val="both"/>
        <w:rPr>
          <w:rFonts w:cs="Arial"/>
        </w:rPr>
      </w:pPr>
      <w:r>
        <w:rPr>
          <w:rFonts w:cs="Arial"/>
        </w:rPr>
        <w:t>2.3</w:t>
      </w:r>
      <w:r>
        <w:rPr>
          <w:rFonts w:cs="Arial"/>
        </w:rPr>
        <w:tab/>
        <w:t xml:space="preserve">Where you act as a representative of the Council— </w:t>
      </w:r>
    </w:p>
    <w:p w:rsidR="00BC645C" w:rsidRDefault="00BC645C" w:rsidP="00BC645C">
      <w:pPr>
        <w:ind w:left="1276" w:hanging="567"/>
        <w:jc w:val="both"/>
        <w:rPr>
          <w:rFonts w:cs="Arial"/>
        </w:rPr>
      </w:pPr>
      <w:r>
        <w:rPr>
          <w:rFonts w:cs="Arial"/>
        </w:rPr>
        <w:t xml:space="preserve">(a) </w:t>
      </w:r>
      <w:r>
        <w:rPr>
          <w:rFonts w:cs="Arial"/>
        </w:rPr>
        <w:tab/>
        <w:t xml:space="preserve">on another relevant authority, you must, when acting for that other authority, comply with that other authority’s code of conduct; or </w:t>
      </w:r>
    </w:p>
    <w:p w:rsidR="00BC645C" w:rsidRDefault="00BC645C" w:rsidP="00BC645C">
      <w:pPr>
        <w:ind w:left="1276" w:hanging="567"/>
        <w:jc w:val="both"/>
        <w:rPr>
          <w:rFonts w:cs="Arial"/>
        </w:rPr>
      </w:pPr>
      <w:r>
        <w:rPr>
          <w:rFonts w:cs="Arial"/>
        </w:rPr>
        <w:t xml:space="preserve">(b) </w:t>
      </w:r>
      <w:r>
        <w:rPr>
          <w:rFonts w:cs="Arial"/>
        </w:rPr>
        <w:tab/>
        <w:t xml:space="preserve">on any other body, you must, when acting for that other body, comply with this Code, except and insofar as it conflicts with any other lawful obligations to which that other body may be subject. </w:t>
      </w:r>
    </w:p>
    <w:p w:rsidR="00BC645C" w:rsidRDefault="00BC645C" w:rsidP="00BC645C">
      <w:pPr>
        <w:ind w:left="720" w:hanging="720"/>
        <w:jc w:val="both"/>
        <w:rPr>
          <w:rFonts w:cs="Arial"/>
        </w:rPr>
      </w:pPr>
    </w:p>
    <w:p w:rsidR="00BC645C" w:rsidRDefault="00BC645C" w:rsidP="00BC645C">
      <w:pPr>
        <w:ind w:left="720" w:hanging="720"/>
        <w:jc w:val="both"/>
        <w:rPr>
          <w:rFonts w:cs="Arial"/>
        </w:rPr>
      </w:pPr>
    </w:p>
    <w:p w:rsidR="00BC645C" w:rsidRDefault="00BC645C" w:rsidP="00BC645C">
      <w:pPr>
        <w:ind w:left="720" w:hanging="720"/>
        <w:jc w:val="both"/>
        <w:rPr>
          <w:rFonts w:cs="Arial"/>
        </w:rPr>
      </w:pPr>
    </w:p>
    <w:p w:rsidR="00BC645C" w:rsidRDefault="00BC645C" w:rsidP="00BC645C">
      <w:pPr>
        <w:ind w:left="720" w:hanging="720"/>
        <w:jc w:val="both"/>
        <w:rPr>
          <w:rFonts w:cs="Arial"/>
        </w:rPr>
      </w:pPr>
    </w:p>
    <w:p w:rsidR="00BC645C" w:rsidRDefault="00BC645C" w:rsidP="00BC645C">
      <w:pPr>
        <w:ind w:left="720" w:hanging="720"/>
        <w:jc w:val="both"/>
        <w:rPr>
          <w:rFonts w:cs="Arial"/>
        </w:rPr>
      </w:pPr>
    </w:p>
    <w:p w:rsidR="00BC645C" w:rsidRDefault="00BC645C" w:rsidP="00BC645C">
      <w:pPr>
        <w:ind w:left="720" w:hanging="720"/>
        <w:jc w:val="both"/>
        <w:rPr>
          <w:rFonts w:cs="Arial"/>
        </w:rPr>
      </w:pPr>
    </w:p>
    <w:p w:rsidR="00BC645C" w:rsidRDefault="00BC645C" w:rsidP="00BC645C">
      <w:pPr>
        <w:ind w:left="720" w:hanging="720"/>
        <w:jc w:val="both"/>
        <w:rPr>
          <w:rFonts w:cs="Arial"/>
        </w:rPr>
      </w:pPr>
    </w:p>
    <w:p w:rsidR="00BC645C" w:rsidRDefault="00BC645C" w:rsidP="00BC645C">
      <w:pPr>
        <w:ind w:left="720" w:hanging="720"/>
        <w:jc w:val="both"/>
        <w:rPr>
          <w:rFonts w:cs="Arial"/>
        </w:rPr>
      </w:pPr>
    </w:p>
    <w:p w:rsidR="00367F53" w:rsidRDefault="00367F53" w:rsidP="00BC645C">
      <w:pPr>
        <w:ind w:left="720" w:hanging="720"/>
        <w:jc w:val="both"/>
        <w:rPr>
          <w:rFonts w:cs="Arial"/>
        </w:rPr>
      </w:pPr>
    </w:p>
    <w:p w:rsidR="00367F53" w:rsidRDefault="00367F53" w:rsidP="00BC645C">
      <w:pPr>
        <w:ind w:left="720" w:hanging="720"/>
        <w:jc w:val="both"/>
        <w:rPr>
          <w:rFonts w:cs="Arial"/>
        </w:rPr>
      </w:pPr>
    </w:p>
    <w:p w:rsidR="00367F53" w:rsidRDefault="00367F53" w:rsidP="00BC645C">
      <w:pPr>
        <w:ind w:left="720" w:hanging="720"/>
        <w:jc w:val="both"/>
        <w:rPr>
          <w:rFonts w:cs="Arial"/>
        </w:rPr>
      </w:pPr>
    </w:p>
    <w:p w:rsidR="00BC645C" w:rsidRDefault="00BC645C" w:rsidP="00BC645C">
      <w:pPr>
        <w:ind w:left="720" w:hanging="720"/>
        <w:jc w:val="both"/>
        <w:rPr>
          <w:rFonts w:cs="Arial"/>
        </w:rPr>
      </w:pPr>
    </w:p>
    <w:p w:rsidR="00BC645C" w:rsidRDefault="00BC645C" w:rsidP="00BC645C">
      <w:pPr>
        <w:jc w:val="both"/>
        <w:rPr>
          <w:rFonts w:cs="Arial"/>
          <w:b/>
        </w:rPr>
      </w:pPr>
      <w:r>
        <w:rPr>
          <w:rFonts w:cs="Arial"/>
          <w:b/>
        </w:rPr>
        <w:t>3.</w:t>
      </w:r>
      <w:r>
        <w:rPr>
          <w:rFonts w:cs="Arial"/>
          <w:b/>
        </w:rPr>
        <w:tab/>
        <w:t xml:space="preserve">General obligations </w:t>
      </w:r>
    </w:p>
    <w:p w:rsidR="00BC645C" w:rsidRDefault="00BC645C" w:rsidP="00BC645C">
      <w:pPr>
        <w:jc w:val="both"/>
        <w:rPr>
          <w:rFonts w:cs="Arial"/>
        </w:rPr>
      </w:pPr>
      <w:r>
        <w:rPr>
          <w:rFonts w:cs="Arial"/>
        </w:rPr>
        <w:t>3.1</w:t>
      </w:r>
      <w:r>
        <w:rPr>
          <w:rFonts w:cs="Arial"/>
        </w:rPr>
        <w:tab/>
        <w:t>You must treat others with respect.</w:t>
      </w:r>
    </w:p>
    <w:p w:rsidR="00BC645C" w:rsidRDefault="00BC645C" w:rsidP="00BC645C">
      <w:pPr>
        <w:jc w:val="both"/>
        <w:rPr>
          <w:rFonts w:cs="Arial"/>
        </w:rPr>
      </w:pPr>
      <w:r>
        <w:rPr>
          <w:rFonts w:cs="Arial"/>
        </w:rPr>
        <w:t>3.2</w:t>
      </w:r>
      <w:r>
        <w:rPr>
          <w:rFonts w:cs="Arial"/>
        </w:rPr>
        <w:tab/>
        <w:t>You must not:</w:t>
      </w:r>
    </w:p>
    <w:p w:rsidR="00BC645C" w:rsidRDefault="00BC645C" w:rsidP="00BC645C">
      <w:pPr>
        <w:ind w:left="1134" w:hanging="425"/>
        <w:jc w:val="both"/>
        <w:rPr>
          <w:rFonts w:cs="Arial"/>
        </w:rPr>
      </w:pPr>
      <w:r>
        <w:rPr>
          <w:rFonts w:cs="Arial"/>
        </w:rPr>
        <w:t>(a)</w:t>
      </w:r>
      <w:r>
        <w:rPr>
          <w:rFonts w:cs="Arial"/>
        </w:rPr>
        <w:tab/>
        <w:t>do anything which may knowingly cause your authority to breach the Equality Act 2010;</w:t>
      </w:r>
    </w:p>
    <w:p w:rsidR="00BC645C" w:rsidRDefault="00BC645C" w:rsidP="00BC645C">
      <w:pPr>
        <w:ind w:left="1134" w:hanging="425"/>
        <w:jc w:val="both"/>
        <w:rPr>
          <w:rFonts w:cs="Arial"/>
        </w:rPr>
      </w:pPr>
      <w:r>
        <w:rPr>
          <w:rFonts w:cs="Arial"/>
        </w:rPr>
        <w:t>(b)</w:t>
      </w:r>
      <w:r>
        <w:rPr>
          <w:rFonts w:cs="Arial"/>
        </w:rPr>
        <w:tab/>
        <w:t xml:space="preserve">bully or be abusive to any person; </w:t>
      </w:r>
    </w:p>
    <w:p w:rsidR="00BC645C" w:rsidRDefault="00BC645C" w:rsidP="00BC645C">
      <w:pPr>
        <w:ind w:left="1134" w:hanging="425"/>
        <w:jc w:val="both"/>
        <w:rPr>
          <w:rFonts w:cs="Arial"/>
        </w:rPr>
      </w:pPr>
      <w:r>
        <w:rPr>
          <w:rFonts w:cs="Arial"/>
        </w:rPr>
        <w:t>(c)</w:t>
      </w:r>
      <w:r>
        <w:rPr>
          <w:rFonts w:cs="Arial"/>
        </w:rPr>
        <w:tab/>
        <w:t>intimidate or attempt to intimidate any person who is or is likely to be:</w:t>
      </w:r>
    </w:p>
    <w:p w:rsidR="00BC645C" w:rsidRDefault="00BC645C" w:rsidP="00BC645C">
      <w:pPr>
        <w:ind w:left="1701" w:hanging="567"/>
        <w:jc w:val="both"/>
        <w:rPr>
          <w:rFonts w:cs="Arial"/>
        </w:rPr>
      </w:pPr>
      <w:r>
        <w:rPr>
          <w:rFonts w:cs="Arial"/>
        </w:rPr>
        <w:t>(i)</w:t>
      </w:r>
      <w:r>
        <w:rPr>
          <w:rFonts w:cs="Arial"/>
        </w:rPr>
        <w:tab/>
        <w:t xml:space="preserve">a complainant, </w:t>
      </w:r>
    </w:p>
    <w:p w:rsidR="00BC645C" w:rsidRDefault="00BC645C" w:rsidP="00BC645C">
      <w:pPr>
        <w:ind w:left="1701" w:hanging="567"/>
        <w:jc w:val="both"/>
        <w:rPr>
          <w:rFonts w:cs="Arial"/>
        </w:rPr>
      </w:pPr>
      <w:r>
        <w:rPr>
          <w:rFonts w:cs="Arial"/>
        </w:rPr>
        <w:t>(ii)</w:t>
      </w:r>
      <w:r>
        <w:rPr>
          <w:rFonts w:cs="Arial"/>
        </w:rPr>
        <w:tab/>
        <w:t>a witness, or</w:t>
      </w:r>
    </w:p>
    <w:p w:rsidR="00BC645C" w:rsidRDefault="00BC645C" w:rsidP="00BC645C">
      <w:pPr>
        <w:ind w:left="1701" w:hanging="567"/>
        <w:jc w:val="both"/>
        <w:rPr>
          <w:rFonts w:cs="Arial"/>
        </w:rPr>
      </w:pPr>
      <w:r>
        <w:rPr>
          <w:rFonts w:cs="Arial"/>
        </w:rPr>
        <w:t>iii)</w:t>
      </w:r>
      <w:r>
        <w:rPr>
          <w:rFonts w:cs="Arial"/>
        </w:rPr>
        <w:tab/>
        <w:t xml:space="preserve">involved in the administration of any investigation or proceedings, in relation to an allegation that a Member (including yourself) has failed to comply with his or her authority’s code of conduct; or </w:t>
      </w:r>
    </w:p>
    <w:p w:rsidR="00BC645C" w:rsidRDefault="00BC645C" w:rsidP="00BC645C">
      <w:pPr>
        <w:ind w:left="1134" w:hanging="425"/>
        <w:jc w:val="both"/>
        <w:rPr>
          <w:rFonts w:cs="Arial"/>
        </w:rPr>
      </w:pPr>
      <w:r>
        <w:rPr>
          <w:rFonts w:cs="Arial"/>
        </w:rPr>
        <w:t xml:space="preserve">(d) </w:t>
      </w:r>
      <w:r>
        <w:rPr>
          <w:rFonts w:cs="Arial"/>
        </w:rPr>
        <w:tab/>
        <w:t xml:space="preserve">do anything which compromises or is likely to compromise the impartiality of those who work for, or on behalf of, the Council. </w:t>
      </w:r>
    </w:p>
    <w:p w:rsidR="00BC645C" w:rsidRDefault="00BC645C" w:rsidP="00BC645C">
      <w:pPr>
        <w:ind w:left="1701" w:hanging="567"/>
        <w:jc w:val="both"/>
        <w:rPr>
          <w:rFonts w:cs="Arial"/>
        </w:rPr>
      </w:pPr>
    </w:p>
    <w:p w:rsidR="00BC645C" w:rsidRDefault="00BC645C" w:rsidP="00BC645C">
      <w:pPr>
        <w:jc w:val="both"/>
        <w:rPr>
          <w:rFonts w:cs="Arial"/>
        </w:rPr>
      </w:pPr>
      <w:r>
        <w:rPr>
          <w:rFonts w:cs="Arial"/>
          <w:b/>
        </w:rPr>
        <w:t>4.</w:t>
      </w:r>
      <w:r>
        <w:rPr>
          <w:rFonts w:cs="Arial"/>
        </w:rPr>
        <w:t xml:space="preserve"> </w:t>
      </w:r>
      <w:r>
        <w:rPr>
          <w:rFonts w:cs="Arial"/>
        </w:rPr>
        <w:tab/>
        <w:t xml:space="preserve">You must not: </w:t>
      </w:r>
    </w:p>
    <w:p w:rsidR="00BC645C" w:rsidRDefault="00BC645C" w:rsidP="00BC645C">
      <w:pPr>
        <w:ind w:left="1440" w:hanging="720"/>
        <w:jc w:val="both"/>
        <w:rPr>
          <w:rFonts w:cs="Arial"/>
        </w:rPr>
      </w:pPr>
      <w:r>
        <w:rPr>
          <w:rFonts w:cs="Arial"/>
        </w:rPr>
        <w:t>(a)</w:t>
      </w:r>
      <w:r>
        <w:rPr>
          <w:rFonts w:cs="Arial"/>
        </w:rPr>
        <w:tab/>
        <w:t>disclose information given to you in confidence by anyone, or information acquired by you which you believe, or ought reasonably to be aware, is of a confidential nature, except where:</w:t>
      </w:r>
    </w:p>
    <w:p w:rsidR="00BC645C" w:rsidRDefault="00BC645C" w:rsidP="00BC645C">
      <w:pPr>
        <w:ind w:left="1985" w:hanging="545"/>
        <w:jc w:val="both"/>
        <w:rPr>
          <w:rFonts w:cs="Arial"/>
        </w:rPr>
      </w:pPr>
      <w:r>
        <w:rPr>
          <w:rFonts w:cs="Arial"/>
        </w:rPr>
        <w:t>(i)</w:t>
      </w:r>
      <w:r>
        <w:rPr>
          <w:rFonts w:cs="Arial"/>
        </w:rPr>
        <w:tab/>
        <w:t xml:space="preserve">you have the consent of a person authorised to give it; </w:t>
      </w:r>
    </w:p>
    <w:p w:rsidR="00BC645C" w:rsidRDefault="00BC645C" w:rsidP="00BC645C">
      <w:pPr>
        <w:ind w:left="1985" w:hanging="545"/>
        <w:jc w:val="both"/>
        <w:rPr>
          <w:rFonts w:cs="Arial"/>
        </w:rPr>
      </w:pPr>
      <w:r>
        <w:rPr>
          <w:rFonts w:cs="Arial"/>
        </w:rPr>
        <w:t>(ii)</w:t>
      </w:r>
      <w:r>
        <w:rPr>
          <w:rFonts w:cs="Arial"/>
        </w:rPr>
        <w:tab/>
        <w:t>you are required by law to do so;</w:t>
      </w:r>
    </w:p>
    <w:p w:rsidR="00BC645C" w:rsidRDefault="00BC645C" w:rsidP="00BC645C">
      <w:pPr>
        <w:tabs>
          <w:tab w:val="left" w:pos="2127"/>
        </w:tabs>
        <w:ind w:left="1985" w:hanging="545"/>
        <w:jc w:val="both"/>
        <w:rPr>
          <w:rFonts w:cs="Arial"/>
        </w:rPr>
      </w:pPr>
      <w:r>
        <w:rPr>
          <w:rFonts w:cs="Arial"/>
        </w:rPr>
        <w:t>(iii)</w:t>
      </w:r>
      <w:r>
        <w:rPr>
          <w:rFonts w:cs="Arial"/>
        </w:rPr>
        <w:tab/>
        <w:t xml:space="preserve">the disclosure is made to a third party for the purpose of obtaining professional advice provided that the third party agrees not to disclose the information to any other person; or </w:t>
      </w:r>
    </w:p>
    <w:p w:rsidR="00BC645C" w:rsidRDefault="00BC645C" w:rsidP="00BC645C">
      <w:pPr>
        <w:ind w:left="1985" w:hanging="545"/>
        <w:jc w:val="both"/>
        <w:rPr>
          <w:rFonts w:cs="Arial"/>
        </w:rPr>
      </w:pPr>
      <w:r>
        <w:rPr>
          <w:rFonts w:cs="Arial"/>
        </w:rPr>
        <w:t>(iv)</w:t>
      </w:r>
      <w:r>
        <w:rPr>
          <w:rFonts w:cs="Arial"/>
        </w:rPr>
        <w:tab/>
        <w:t xml:space="preserve">the disclosure is: </w:t>
      </w:r>
    </w:p>
    <w:p w:rsidR="00BC645C" w:rsidRDefault="00BC645C" w:rsidP="00BC645C">
      <w:pPr>
        <w:ind w:left="2410" w:hanging="425"/>
        <w:jc w:val="both"/>
        <w:rPr>
          <w:rFonts w:cs="Arial"/>
        </w:rPr>
      </w:pPr>
      <w:r>
        <w:rPr>
          <w:rFonts w:cs="Arial"/>
        </w:rPr>
        <w:t xml:space="preserve">(a) </w:t>
      </w:r>
      <w:r>
        <w:rPr>
          <w:rFonts w:cs="Arial"/>
        </w:rPr>
        <w:tab/>
        <w:t xml:space="preserve">reasonable and in the public interest; and </w:t>
      </w:r>
    </w:p>
    <w:p w:rsidR="00BC645C" w:rsidRDefault="00BC645C" w:rsidP="00BC645C">
      <w:pPr>
        <w:ind w:left="2410" w:hanging="425"/>
        <w:jc w:val="both"/>
        <w:rPr>
          <w:rFonts w:cs="Arial"/>
        </w:rPr>
      </w:pPr>
      <w:r>
        <w:rPr>
          <w:rFonts w:cs="Arial"/>
        </w:rPr>
        <w:t>(b)</w:t>
      </w:r>
      <w:r>
        <w:rPr>
          <w:rFonts w:cs="Arial"/>
        </w:rPr>
        <w:tab/>
        <w:t xml:space="preserve">made in good faith and in compliance with the reasonable requirements of the Council; or </w:t>
      </w:r>
    </w:p>
    <w:p w:rsidR="00BC645C" w:rsidRDefault="00BC645C" w:rsidP="00BC645C">
      <w:pPr>
        <w:ind w:left="1440" w:hanging="720"/>
        <w:jc w:val="both"/>
        <w:rPr>
          <w:rFonts w:cs="Arial"/>
        </w:rPr>
      </w:pPr>
      <w:r>
        <w:rPr>
          <w:rFonts w:cs="Arial"/>
        </w:rPr>
        <w:t>(b)</w:t>
      </w:r>
      <w:r>
        <w:rPr>
          <w:rFonts w:cs="Arial"/>
        </w:rPr>
        <w:tab/>
        <w:t xml:space="preserve">prevent another person from gaining access to information to which that person is entitled by law. </w:t>
      </w:r>
    </w:p>
    <w:p w:rsidR="00BC645C" w:rsidRDefault="00BC645C" w:rsidP="00BC645C">
      <w:pPr>
        <w:ind w:left="1440" w:hanging="720"/>
        <w:jc w:val="both"/>
        <w:rPr>
          <w:rFonts w:cs="Arial"/>
        </w:rPr>
      </w:pPr>
    </w:p>
    <w:p w:rsidR="00BC645C" w:rsidRDefault="00BC645C" w:rsidP="00BC645C">
      <w:pPr>
        <w:ind w:left="720" w:hanging="720"/>
        <w:jc w:val="both"/>
        <w:rPr>
          <w:rFonts w:cs="Arial"/>
        </w:rPr>
      </w:pPr>
      <w:r>
        <w:rPr>
          <w:rFonts w:cs="Arial"/>
          <w:b/>
        </w:rPr>
        <w:t>5.</w:t>
      </w:r>
      <w:r>
        <w:rPr>
          <w:rFonts w:cs="Arial"/>
        </w:rPr>
        <w:t xml:space="preserve"> </w:t>
      </w:r>
      <w:r>
        <w:rPr>
          <w:rFonts w:cs="Arial"/>
        </w:rPr>
        <w:tab/>
        <w:t>You must not conduct yourself in a manner which could reasonably be regarded as bringing your office or the Council into disrepute.</w:t>
      </w:r>
    </w:p>
    <w:p w:rsidR="00BC645C" w:rsidRDefault="00BC645C" w:rsidP="00BC645C">
      <w:pPr>
        <w:ind w:left="720" w:hanging="720"/>
        <w:jc w:val="both"/>
        <w:rPr>
          <w:rFonts w:cs="Arial"/>
        </w:rPr>
      </w:pPr>
      <w:r>
        <w:rPr>
          <w:rFonts w:cs="Arial"/>
        </w:rPr>
        <w:t xml:space="preserve"> </w:t>
      </w:r>
    </w:p>
    <w:p w:rsidR="00BC645C" w:rsidRDefault="00BC645C" w:rsidP="00BC645C">
      <w:pPr>
        <w:jc w:val="both"/>
        <w:rPr>
          <w:rFonts w:cs="Arial"/>
        </w:rPr>
      </w:pPr>
      <w:r>
        <w:rPr>
          <w:rFonts w:cs="Arial"/>
          <w:b/>
        </w:rPr>
        <w:t>6.</w:t>
      </w:r>
      <w:r>
        <w:rPr>
          <w:rFonts w:cs="Arial"/>
        </w:rPr>
        <w:t xml:space="preserve"> </w:t>
      </w:r>
      <w:r>
        <w:rPr>
          <w:rFonts w:cs="Arial"/>
        </w:rPr>
        <w:tab/>
        <w:t>You:</w:t>
      </w:r>
    </w:p>
    <w:p w:rsidR="00BC645C" w:rsidRDefault="00BC645C" w:rsidP="00BC645C">
      <w:pPr>
        <w:ind w:left="1276" w:hanging="556"/>
        <w:jc w:val="both"/>
        <w:rPr>
          <w:rFonts w:cs="Arial"/>
        </w:rPr>
      </w:pPr>
      <w:r>
        <w:rPr>
          <w:rFonts w:cs="Arial"/>
        </w:rPr>
        <w:t xml:space="preserve">(a) </w:t>
      </w:r>
      <w:r>
        <w:rPr>
          <w:rFonts w:cs="Arial"/>
        </w:rPr>
        <w:tab/>
        <w:t xml:space="preserve">must not use or attempt to use your position as a Member improperly to confer on or secure for yourself or any other person, an advantage or disadvantage; and </w:t>
      </w:r>
    </w:p>
    <w:p w:rsidR="00BC645C" w:rsidRDefault="00BC645C" w:rsidP="00BC645C">
      <w:pPr>
        <w:ind w:left="1276" w:hanging="556"/>
        <w:jc w:val="both"/>
        <w:rPr>
          <w:rFonts w:cs="Arial"/>
        </w:rPr>
      </w:pPr>
      <w:r>
        <w:rPr>
          <w:rFonts w:cs="Arial"/>
        </w:rPr>
        <w:t xml:space="preserve">(b) </w:t>
      </w:r>
      <w:r>
        <w:rPr>
          <w:rFonts w:cs="Arial"/>
        </w:rPr>
        <w:tab/>
        <w:t xml:space="preserve">must, when using or authorising the use by others of the resources of this council: </w:t>
      </w:r>
    </w:p>
    <w:p w:rsidR="00BC645C" w:rsidRDefault="00BC645C" w:rsidP="00BC645C">
      <w:pPr>
        <w:ind w:left="1701" w:hanging="425"/>
        <w:jc w:val="both"/>
        <w:rPr>
          <w:rFonts w:cs="Arial"/>
        </w:rPr>
      </w:pPr>
      <w:r>
        <w:rPr>
          <w:rFonts w:cs="Arial"/>
        </w:rPr>
        <w:t xml:space="preserve">(i) </w:t>
      </w:r>
      <w:r>
        <w:rPr>
          <w:rFonts w:cs="Arial"/>
        </w:rPr>
        <w:tab/>
        <w:t>act in accordance with the Council’s reasonable requirements; and</w:t>
      </w:r>
    </w:p>
    <w:p w:rsidR="00BC645C" w:rsidRDefault="00BC645C" w:rsidP="00BC645C">
      <w:pPr>
        <w:ind w:left="1701" w:hanging="425"/>
        <w:jc w:val="both"/>
        <w:rPr>
          <w:rFonts w:cs="Arial"/>
        </w:rPr>
      </w:pPr>
      <w:r>
        <w:rPr>
          <w:rFonts w:cs="Arial"/>
        </w:rPr>
        <w:t>(ii)</w:t>
      </w:r>
      <w:r>
        <w:rPr>
          <w:rFonts w:cs="Arial"/>
        </w:rPr>
        <w:tab/>
        <w:t xml:space="preserve">ensure that such resources are not used improperly for political purposes (including party political purposes); and </w:t>
      </w:r>
    </w:p>
    <w:p w:rsidR="00BC645C" w:rsidRDefault="00BC645C" w:rsidP="00BC645C">
      <w:pPr>
        <w:ind w:left="1276" w:hanging="556"/>
        <w:jc w:val="both"/>
        <w:rPr>
          <w:rFonts w:cs="Arial"/>
        </w:rPr>
      </w:pPr>
      <w:r>
        <w:rPr>
          <w:rFonts w:cs="Arial"/>
        </w:rPr>
        <w:t xml:space="preserve">(c) </w:t>
      </w:r>
      <w:r>
        <w:rPr>
          <w:rFonts w:cs="Arial"/>
        </w:rPr>
        <w:tab/>
        <w:t xml:space="preserve">must have regard to any applicable Local Authority Code of Publicity made under the Local Government Act 1986. </w:t>
      </w:r>
    </w:p>
    <w:p w:rsidR="00BC645C" w:rsidRDefault="00BC645C" w:rsidP="00BC645C">
      <w:pPr>
        <w:ind w:left="1440" w:hanging="720"/>
        <w:jc w:val="both"/>
        <w:rPr>
          <w:rFonts w:cs="Arial"/>
        </w:rPr>
      </w:pPr>
    </w:p>
    <w:p w:rsidR="00BC645C" w:rsidRDefault="00BC645C" w:rsidP="00BC645C">
      <w:pPr>
        <w:tabs>
          <w:tab w:val="left" w:pos="709"/>
        </w:tabs>
        <w:ind w:left="1276" w:hanging="1276"/>
        <w:jc w:val="both"/>
        <w:rPr>
          <w:rFonts w:cs="Arial"/>
        </w:rPr>
      </w:pPr>
      <w:r>
        <w:rPr>
          <w:rFonts w:cs="Arial"/>
          <w:b/>
        </w:rPr>
        <w:t>7.</w:t>
      </w:r>
      <w:r>
        <w:rPr>
          <w:rFonts w:cs="Arial"/>
        </w:rPr>
        <w:tab/>
        <w:t>(1)</w:t>
      </w:r>
      <w:r>
        <w:rPr>
          <w:rFonts w:cs="Arial"/>
        </w:rPr>
        <w:tab/>
        <w:t>When reaching decisions on any matter you must have regard to any relevant advice provided to you by</w:t>
      </w:r>
    </w:p>
    <w:p w:rsidR="00BC645C" w:rsidRDefault="00BC645C" w:rsidP="00BC645C">
      <w:pPr>
        <w:ind w:left="1985" w:hanging="567"/>
        <w:jc w:val="both"/>
        <w:rPr>
          <w:rFonts w:cs="Arial"/>
        </w:rPr>
      </w:pPr>
      <w:r>
        <w:rPr>
          <w:rFonts w:cs="Arial"/>
        </w:rPr>
        <w:t>(a)</w:t>
      </w:r>
      <w:r>
        <w:rPr>
          <w:rFonts w:cs="Arial"/>
        </w:rPr>
        <w:tab/>
        <w:t>The</w:t>
      </w:r>
      <w:r w:rsidR="00367F53">
        <w:rPr>
          <w:rFonts w:cs="Arial"/>
        </w:rPr>
        <w:t xml:space="preserve"> Town Clerk/Responsible Financial Officer</w:t>
      </w:r>
      <w:r>
        <w:rPr>
          <w:rFonts w:cs="Arial"/>
        </w:rPr>
        <w:t xml:space="preserve">; or </w:t>
      </w:r>
    </w:p>
    <w:p w:rsidR="00BC645C" w:rsidRDefault="00367F53" w:rsidP="00BC645C">
      <w:pPr>
        <w:ind w:left="1985" w:hanging="567"/>
        <w:jc w:val="both"/>
        <w:rPr>
          <w:rFonts w:cs="Arial"/>
        </w:rPr>
      </w:pPr>
      <w:r>
        <w:rPr>
          <w:rFonts w:cs="Arial"/>
        </w:rPr>
        <w:t xml:space="preserve">(b) </w:t>
      </w:r>
      <w:r>
        <w:rPr>
          <w:rFonts w:cs="Arial"/>
        </w:rPr>
        <w:tab/>
        <w:t xml:space="preserve">Bolton </w:t>
      </w:r>
      <w:r w:rsidR="00BC645C">
        <w:rPr>
          <w:rFonts w:cs="Arial"/>
        </w:rPr>
        <w:t xml:space="preserve">Council’s Monitoring Officer, </w:t>
      </w:r>
    </w:p>
    <w:p w:rsidR="00BC645C" w:rsidRDefault="00BC645C" w:rsidP="00BC645C">
      <w:pPr>
        <w:tabs>
          <w:tab w:val="left" w:pos="709"/>
        </w:tabs>
        <w:ind w:left="1276" w:firstLine="11"/>
        <w:jc w:val="both"/>
        <w:rPr>
          <w:rFonts w:cs="Arial"/>
        </w:rPr>
      </w:pPr>
      <w:r>
        <w:rPr>
          <w:rFonts w:cs="Arial"/>
        </w:rPr>
        <w:t xml:space="preserve">where that officer is acting pursuant to his or her personal statutory duties. </w:t>
      </w:r>
    </w:p>
    <w:p w:rsidR="00BC645C" w:rsidRDefault="00BC645C" w:rsidP="00BC645C">
      <w:pPr>
        <w:ind w:left="1276" w:hanging="567"/>
        <w:jc w:val="both"/>
        <w:rPr>
          <w:rFonts w:cs="Arial"/>
        </w:rPr>
      </w:pPr>
      <w:r>
        <w:rPr>
          <w:rFonts w:cs="Arial"/>
        </w:rPr>
        <w:t>(2)</w:t>
      </w:r>
      <w:r>
        <w:rPr>
          <w:rFonts w:cs="Arial"/>
        </w:rPr>
        <w:tab/>
        <w:t xml:space="preserve">You must give reasons for all decisions in accordance with any statutory requirements and any reasonable additional requirements imposed by your authority. </w:t>
      </w:r>
    </w:p>
    <w:p w:rsidR="00BC645C" w:rsidRDefault="00BC645C" w:rsidP="00BC645C">
      <w:pPr>
        <w:jc w:val="both"/>
        <w:rPr>
          <w:rFonts w:cs="Arial"/>
        </w:rPr>
      </w:pPr>
    </w:p>
    <w:p w:rsidR="00BC645C" w:rsidRDefault="00BC645C" w:rsidP="00BC645C">
      <w:pPr>
        <w:jc w:val="both"/>
        <w:rPr>
          <w:rFonts w:cs="Arial"/>
          <w:b/>
        </w:rPr>
      </w:pPr>
      <w:r>
        <w:rPr>
          <w:rFonts w:cs="Arial"/>
          <w:b/>
        </w:rPr>
        <w:t xml:space="preserve">Part 2 </w:t>
      </w:r>
      <w:r>
        <w:rPr>
          <w:rFonts w:cs="Arial"/>
          <w:b/>
        </w:rPr>
        <w:tab/>
      </w:r>
      <w:r>
        <w:rPr>
          <w:rFonts w:cs="Arial"/>
          <w:b/>
        </w:rPr>
        <w:tab/>
        <w:t>DISCLOSABLE PECUNIARY INTERESTS</w:t>
      </w:r>
    </w:p>
    <w:p w:rsidR="00BC645C" w:rsidRDefault="00BC645C" w:rsidP="00BC645C">
      <w:pPr>
        <w:jc w:val="both"/>
        <w:rPr>
          <w:rFonts w:cs="Arial"/>
          <w:b/>
        </w:rPr>
      </w:pPr>
    </w:p>
    <w:p w:rsidR="00BC645C" w:rsidRDefault="00BC645C" w:rsidP="00BC645C">
      <w:pPr>
        <w:jc w:val="both"/>
        <w:rPr>
          <w:rFonts w:cs="Arial"/>
        </w:rPr>
      </w:pPr>
      <w:r>
        <w:rPr>
          <w:rFonts w:cs="Arial"/>
          <w:b/>
        </w:rPr>
        <w:t>8.</w:t>
      </w:r>
      <w:r>
        <w:rPr>
          <w:rFonts w:cs="Arial"/>
          <w:b/>
        </w:rPr>
        <w:tab/>
        <w:t>Registering and declaring Disclosable Pecuniary Interests</w:t>
      </w:r>
    </w:p>
    <w:p w:rsidR="00BC645C" w:rsidRDefault="00BC645C" w:rsidP="00BC645C">
      <w:pPr>
        <w:ind w:left="675" w:hanging="675"/>
        <w:jc w:val="both"/>
        <w:rPr>
          <w:rFonts w:cs="Arial"/>
        </w:rPr>
      </w:pPr>
      <w:r>
        <w:rPr>
          <w:rFonts w:cs="Arial"/>
        </w:rPr>
        <w:t>8.1</w:t>
      </w:r>
      <w:r>
        <w:rPr>
          <w:rFonts w:cs="Arial"/>
        </w:rPr>
        <w:tab/>
        <w:t xml:space="preserve">You must, within 28 days of your election or appointment to office as a Member notify the Monitoring Officer of any Disclosable Pecuniary Interests you have (see paragraph 9 below). </w:t>
      </w:r>
    </w:p>
    <w:p w:rsidR="00BC645C" w:rsidRDefault="00BC645C" w:rsidP="00BC645C">
      <w:pPr>
        <w:ind w:left="675" w:hanging="675"/>
        <w:jc w:val="both"/>
        <w:rPr>
          <w:rFonts w:cs="Arial"/>
        </w:rPr>
      </w:pPr>
      <w:r>
        <w:rPr>
          <w:rFonts w:cs="Arial"/>
        </w:rPr>
        <w:t>8.2</w:t>
      </w:r>
      <w:r>
        <w:rPr>
          <w:rFonts w:cs="Arial"/>
        </w:rPr>
        <w:tab/>
        <w:t>You must, notify the Monitoring Officer within 28 days of becoming aware of any changes to a Disclosable Pecuniary Interest previously notified or of any new Disclosable Pecuniary Interest not previously notified.</w:t>
      </w:r>
    </w:p>
    <w:p w:rsidR="00BC645C" w:rsidRDefault="00BC645C" w:rsidP="00BC645C">
      <w:pPr>
        <w:ind w:left="675" w:hanging="675"/>
        <w:jc w:val="both"/>
        <w:rPr>
          <w:rFonts w:cs="Arial"/>
          <w:i/>
        </w:rPr>
      </w:pPr>
      <w:r>
        <w:rPr>
          <w:rFonts w:cs="Arial"/>
        </w:rPr>
        <w:t>8.3</w:t>
      </w:r>
      <w:r>
        <w:rPr>
          <w:rFonts w:cs="Arial"/>
        </w:rPr>
        <w:tab/>
        <w:t>If a Disclosable Pecuniary Interest, has not been entered onto the Council’s register of interests, then the Member must disclose the interest to any meeting of the Council at which they are present, where they have a Disclosable Pecuniary Interest and where the matter is not a “Sensitive Interest”(see paragraph 10 below)</w:t>
      </w:r>
      <w:r>
        <w:rPr>
          <w:rFonts w:cs="Arial"/>
          <w:i/>
        </w:rPr>
        <w:t>.</w:t>
      </w:r>
    </w:p>
    <w:p w:rsidR="00BC645C" w:rsidRDefault="00BC645C" w:rsidP="00BC645C">
      <w:pPr>
        <w:ind w:left="675" w:hanging="675"/>
        <w:jc w:val="both"/>
        <w:rPr>
          <w:rFonts w:cs="Arial"/>
        </w:rPr>
      </w:pPr>
      <w:r>
        <w:rPr>
          <w:rFonts w:cs="Arial"/>
        </w:rPr>
        <w:t>8.4</w:t>
      </w:r>
      <w:r>
        <w:rPr>
          <w:rFonts w:cs="Arial"/>
        </w:rPr>
        <w:tab/>
        <w:t>Following disclosure of a Disclosable Pecuniary Interest not on the Council’s register or the subject of pending notification, you must notify the Monitoring Officer of the interest within 28 days beginning with the date of disclosure.</w:t>
      </w:r>
    </w:p>
    <w:p w:rsidR="00BC645C" w:rsidRDefault="00BC645C" w:rsidP="00BC645C">
      <w:pPr>
        <w:ind w:left="675" w:hanging="675"/>
        <w:jc w:val="both"/>
        <w:rPr>
          <w:rFonts w:cs="Arial"/>
        </w:rPr>
      </w:pPr>
      <w:r>
        <w:rPr>
          <w:rFonts w:cs="Arial"/>
        </w:rPr>
        <w:t>8.5</w:t>
      </w:r>
      <w:r>
        <w:rPr>
          <w:rFonts w:cs="Arial"/>
        </w:rPr>
        <w:tab/>
        <w:t>Unless dispensation has been granted, you may not participate in any discussion of, vote on, or discharge any function related to any matter in which you have a Disclosable Pecuniary Interest.</w:t>
      </w:r>
    </w:p>
    <w:p w:rsidR="00BC645C" w:rsidRDefault="00BC645C" w:rsidP="00BC645C">
      <w:pPr>
        <w:ind w:left="675" w:hanging="675"/>
        <w:jc w:val="both"/>
        <w:rPr>
          <w:rFonts w:cs="Arial"/>
        </w:rPr>
      </w:pPr>
      <w:r>
        <w:rPr>
          <w:rFonts w:cs="Arial"/>
        </w:rPr>
        <w:t>8.6</w:t>
      </w:r>
      <w:r>
        <w:rPr>
          <w:rFonts w:cs="Arial"/>
        </w:rPr>
        <w:tab/>
        <w:t>Any interests notified to the Monitoring Officer will be included in the register of interests.  A copy of the register will be available for public inspection and will be published on the Council’s website.</w:t>
      </w:r>
    </w:p>
    <w:p w:rsidR="00BC645C" w:rsidRDefault="00BC645C" w:rsidP="00BC645C">
      <w:pPr>
        <w:jc w:val="both"/>
        <w:rPr>
          <w:rFonts w:cs="Arial"/>
          <w:b/>
        </w:rPr>
      </w:pPr>
    </w:p>
    <w:p w:rsidR="00BC645C" w:rsidRDefault="00BC645C" w:rsidP="00BC645C">
      <w:pPr>
        <w:ind w:left="675" w:hanging="675"/>
        <w:jc w:val="both"/>
        <w:rPr>
          <w:rFonts w:cs="Arial"/>
        </w:rPr>
      </w:pPr>
      <w:r>
        <w:rPr>
          <w:rFonts w:cs="Arial"/>
          <w:b/>
        </w:rPr>
        <w:t>9.</w:t>
      </w:r>
      <w:r>
        <w:rPr>
          <w:rFonts w:cs="Arial"/>
        </w:rPr>
        <w:tab/>
        <w:t>A Disclosable Pecuniary Interest is an interest which you or your Associated Person has within the following descriptions:</w:t>
      </w:r>
    </w:p>
    <w:p w:rsidR="00BC645C" w:rsidRDefault="00BC645C" w:rsidP="00BC645C">
      <w:pPr>
        <w:jc w:val="both"/>
        <w:rPr>
          <w:rFonts w:cs="Arial"/>
        </w:rPr>
      </w:pPr>
    </w:p>
    <w:tbl>
      <w:tblPr>
        <w:tblW w:w="4950" w:type="pct"/>
        <w:tblCellMar>
          <w:left w:w="0" w:type="dxa"/>
          <w:right w:w="0" w:type="dxa"/>
        </w:tblCellMar>
        <w:tblLook w:val="04A0" w:firstRow="1" w:lastRow="0" w:firstColumn="1" w:lastColumn="0" w:noHBand="0" w:noVBand="1"/>
      </w:tblPr>
      <w:tblGrid>
        <w:gridCol w:w="1961"/>
        <w:gridCol w:w="7016"/>
      </w:tblGrid>
      <w:tr w:rsidR="00BC645C" w:rsidTr="00BC645C">
        <w:tc>
          <w:tcPr>
            <w:tcW w:w="0" w:type="auto"/>
            <w:shd w:val="clear" w:color="auto" w:fill="D9D9D9"/>
            <w:tcMar>
              <w:top w:w="21" w:type="dxa"/>
              <w:left w:w="21" w:type="dxa"/>
              <w:bottom w:w="21" w:type="dxa"/>
              <w:right w:w="21" w:type="dxa"/>
            </w:tcMar>
            <w:hideMark/>
          </w:tcPr>
          <w:p w:rsidR="00BC645C" w:rsidRDefault="00BC645C">
            <w:pPr>
              <w:jc w:val="both"/>
              <w:rPr>
                <w:rFonts w:cs="Arial"/>
              </w:rPr>
            </w:pPr>
            <w:r>
              <w:rPr>
                <w:rFonts w:cs="Arial"/>
                <w:b/>
                <w:bCs/>
                <w:i/>
                <w:iCs/>
              </w:rPr>
              <w:t>Subject</w:t>
            </w:r>
          </w:p>
        </w:tc>
        <w:tc>
          <w:tcPr>
            <w:tcW w:w="0" w:type="auto"/>
            <w:tcMar>
              <w:top w:w="21" w:type="dxa"/>
              <w:left w:w="21" w:type="dxa"/>
              <w:bottom w:w="21" w:type="dxa"/>
              <w:right w:w="21" w:type="dxa"/>
            </w:tcMar>
            <w:hideMark/>
          </w:tcPr>
          <w:p w:rsidR="00BC645C" w:rsidRDefault="00BC645C">
            <w:pPr>
              <w:jc w:val="both"/>
              <w:rPr>
                <w:rFonts w:cs="Arial"/>
              </w:rPr>
            </w:pPr>
            <w:r>
              <w:rPr>
                <w:rFonts w:cs="Arial"/>
                <w:b/>
                <w:bCs/>
                <w:i/>
                <w:iCs/>
              </w:rPr>
              <w:t>Prescribed description</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r>
              <w:rPr>
                <w:rFonts w:cs="Arial"/>
              </w:rPr>
              <w:t>Employment, office, trade, profession or vocation</w:t>
            </w:r>
          </w:p>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Any employment, office, trade, profession or vocation carried on for profit or gain.</w:t>
            </w:r>
          </w:p>
        </w:tc>
      </w:tr>
      <w:tr w:rsidR="00BC645C" w:rsidTr="00BC645C">
        <w:tc>
          <w:tcPr>
            <w:tcW w:w="0" w:type="auto"/>
            <w:shd w:val="clear" w:color="auto" w:fill="D9D9D9"/>
            <w:tcMar>
              <w:top w:w="21" w:type="dxa"/>
              <w:left w:w="21" w:type="dxa"/>
              <w:bottom w:w="21" w:type="dxa"/>
              <w:right w:w="21" w:type="dxa"/>
            </w:tcMar>
            <w:hideMark/>
          </w:tcPr>
          <w:p w:rsidR="00BC645C" w:rsidRDefault="00BC645C">
            <w:pPr>
              <w:jc w:val="both"/>
              <w:rPr>
                <w:rFonts w:cs="Arial"/>
              </w:rPr>
            </w:pPr>
            <w:r>
              <w:rPr>
                <w:rFonts w:cs="Arial"/>
              </w:rPr>
              <w:t>Sponsorship</w:t>
            </w:r>
          </w:p>
        </w:tc>
        <w:tc>
          <w:tcPr>
            <w:tcW w:w="0" w:type="auto"/>
            <w:tcMar>
              <w:top w:w="21" w:type="dxa"/>
              <w:left w:w="21" w:type="dxa"/>
              <w:bottom w:w="21" w:type="dxa"/>
              <w:right w:w="21" w:type="dxa"/>
            </w:tcMar>
            <w:hideMark/>
          </w:tcPr>
          <w:p w:rsidR="00BC645C" w:rsidRDefault="00BC645C">
            <w:pPr>
              <w:jc w:val="both"/>
              <w:rPr>
                <w:rFonts w:cs="Arial"/>
              </w:rPr>
            </w:pPr>
            <w:r>
              <w:rPr>
                <w:rFonts w:cs="Arial"/>
              </w:rPr>
              <w:t>Any payment or provision of any other financial benefit (other than from this council) made or provided for up to 1 year after you have given a notification of a Disclosable Personal Interest to the Monitoring Officer in respect of any expenses incurred by a Member in carrying out duties as a Member, or towards the election expenses of a Member.</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 xml:space="preserve">This includes any payment or financial benefit from a trade union within the meaning of the </w:t>
            </w:r>
            <w:hyperlink r:id="rId8" w:history="1">
              <w:r>
                <w:rPr>
                  <w:rStyle w:val="Hyperlink"/>
                  <w:rFonts w:cs="Arial"/>
                </w:rPr>
                <w:t>Trade Union and Labour Relations (Consolidation) Act 1992</w:t>
              </w:r>
            </w:hyperlink>
            <w:r>
              <w:rPr>
                <w:rFonts w:cs="Arial"/>
              </w:rPr>
              <w:t>.</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Contracts</w:t>
            </w:r>
          </w:p>
        </w:tc>
        <w:tc>
          <w:tcPr>
            <w:tcW w:w="0" w:type="auto"/>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Any contract which is made between a Member or his/her Associated Person (or a body in which a Member or his/her Associated Person is a partner, a director ( a director includes a member of the committee of management of an industrial and provident society) or has an interest in securities) and the Council—</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(a) under which goods or services are to be provided or works are to be executed; and</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(b) which has not been fully discharged.</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Land</w:t>
            </w:r>
          </w:p>
        </w:tc>
        <w:tc>
          <w:tcPr>
            <w:tcW w:w="0" w:type="auto"/>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Any beneficial interest in land which is within the borough of Bolton.  The definition of land excludes an easement, servitude, interest or right in or over land which does not carry with it a right for the member or his/her Associated Person (alone or jointly with another) to occupy the land or to receive income;</w:t>
            </w:r>
          </w:p>
          <w:p w:rsidR="00BC645C" w:rsidRDefault="00BC645C">
            <w:pPr>
              <w:jc w:val="both"/>
              <w:rPr>
                <w:rFonts w:cs="Arial"/>
              </w:rPr>
            </w:pP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Licences</w:t>
            </w:r>
          </w:p>
        </w:tc>
        <w:tc>
          <w:tcPr>
            <w:tcW w:w="0" w:type="auto"/>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Any licence (alone or jointly with others) to occupy land in the borough of Bolton for a month or longer.</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Corporate tenancies</w:t>
            </w:r>
          </w:p>
        </w:tc>
        <w:tc>
          <w:tcPr>
            <w:tcW w:w="0" w:type="auto"/>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Any tenancy where (to a member's knowledge)—</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(a) the landlord is this council; and</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(b) the tenant is a body in which the member or his/her associated person has a beneficial interest.</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Securities</w:t>
            </w:r>
          </w:p>
        </w:tc>
        <w:tc>
          <w:tcPr>
            <w:tcW w:w="0" w:type="auto"/>
            <w:tcMar>
              <w:top w:w="21" w:type="dxa"/>
              <w:left w:w="21" w:type="dxa"/>
              <w:bottom w:w="21" w:type="dxa"/>
              <w:right w:w="21" w:type="dxa"/>
            </w:tcMar>
          </w:tcPr>
          <w:p w:rsidR="00BC645C" w:rsidRDefault="00BC645C">
            <w:pPr>
              <w:jc w:val="both"/>
              <w:rPr>
                <w:rFonts w:cs="Arial"/>
              </w:rPr>
            </w:pPr>
          </w:p>
          <w:p w:rsidR="00BC645C" w:rsidRDefault="00BC645C">
            <w:pPr>
              <w:jc w:val="both"/>
              <w:rPr>
                <w:rFonts w:cs="Arial"/>
              </w:rPr>
            </w:pPr>
            <w:r>
              <w:rPr>
                <w:rFonts w:cs="Arial"/>
              </w:rPr>
              <w:t>Any beneficial interest in securities of a body where—</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(a) that body (to the member’s  knowledge) has a place of business or land in the borough of Bolton; and</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(b) either—</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(i) the total nominal value of the securities exceeds £25,000 or one hundredth of the total issued share capital of that body; or</w:t>
            </w:r>
          </w:p>
        </w:tc>
      </w:tr>
      <w:tr w:rsidR="00BC645C" w:rsidTr="00BC645C">
        <w:tc>
          <w:tcPr>
            <w:tcW w:w="0" w:type="auto"/>
            <w:shd w:val="clear" w:color="auto" w:fill="D9D9D9"/>
            <w:tcMar>
              <w:top w:w="21" w:type="dxa"/>
              <w:left w:w="21" w:type="dxa"/>
              <w:bottom w:w="21" w:type="dxa"/>
              <w:right w:w="21" w:type="dxa"/>
            </w:tcMar>
          </w:tcPr>
          <w:p w:rsidR="00BC645C" w:rsidRDefault="00BC645C">
            <w:pPr>
              <w:jc w:val="both"/>
              <w:rPr>
                <w:rFonts w:cs="Arial"/>
              </w:rPr>
            </w:pPr>
          </w:p>
        </w:tc>
        <w:tc>
          <w:tcPr>
            <w:tcW w:w="0" w:type="auto"/>
            <w:tcMar>
              <w:top w:w="21" w:type="dxa"/>
              <w:left w:w="21" w:type="dxa"/>
              <w:bottom w:w="21" w:type="dxa"/>
              <w:right w:w="21" w:type="dxa"/>
            </w:tcMar>
            <w:hideMark/>
          </w:tcPr>
          <w:p w:rsidR="00BC645C" w:rsidRDefault="00BC645C">
            <w:pPr>
              <w:jc w:val="both"/>
              <w:rPr>
                <w:rFonts w:cs="Arial"/>
              </w:rPr>
            </w:pPr>
            <w:r>
              <w:rPr>
                <w:rFonts w:cs="Arial"/>
              </w:rPr>
              <w:t>(ii) if the share capital of that body is of more than one class, the total nominal value of the shares of any one class in which the member or his/her Associated Person has a beneficial interest exceeds one hundredth of the total issued share capital of that class.</w:t>
            </w:r>
          </w:p>
        </w:tc>
      </w:tr>
    </w:tbl>
    <w:p w:rsidR="00BC645C" w:rsidRDefault="00BC645C" w:rsidP="00BC645C">
      <w:pPr>
        <w:jc w:val="both"/>
        <w:rPr>
          <w:rFonts w:cs="Arial"/>
        </w:rPr>
      </w:pPr>
    </w:p>
    <w:p w:rsidR="00BC645C" w:rsidRDefault="00BC645C" w:rsidP="00BC645C">
      <w:pPr>
        <w:jc w:val="both"/>
        <w:rPr>
          <w:rFonts w:cs="Arial"/>
        </w:rPr>
      </w:pPr>
      <w:r>
        <w:rPr>
          <w:rFonts w:cs="Arial"/>
        </w:rPr>
        <w:t>“Associated Person” means:</w:t>
      </w:r>
    </w:p>
    <w:p w:rsidR="00BC645C" w:rsidRDefault="00BC645C" w:rsidP="00BC645C">
      <w:pPr>
        <w:numPr>
          <w:ilvl w:val="0"/>
          <w:numId w:val="3"/>
        </w:numPr>
        <w:jc w:val="both"/>
        <w:rPr>
          <w:rFonts w:cs="Arial"/>
        </w:rPr>
      </w:pPr>
      <w:r>
        <w:rPr>
          <w:rFonts w:cs="Arial"/>
        </w:rPr>
        <w:t>a member’s spouse or civil partner</w:t>
      </w:r>
    </w:p>
    <w:p w:rsidR="00BC645C" w:rsidRDefault="00BC645C" w:rsidP="00BC645C">
      <w:pPr>
        <w:numPr>
          <w:ilvl w:val="0"/>
          <w:numId w:val="3"/>
        </w:numPr>
        <w:jc w:val="both"/>
        <w:rPr>
          <w:rFonts w:cs="Arial"/>
        </w:rPr>
      </w:pPr>
      <w:r>
        <w:rPr>
          <w:rFonts w:cs="Arial"/>
        </w:rPr>
        <w:t>a person a member  is living with as husband and wife, and,</w:t>
      </w:r>
    </w:p>
    <w:p w:rsidR="00BC645C" w:rsidRDefault="00BC645C" w:rsidP="00BC645C">
      <w:pPr>
        <w:numPr>
          <w:ilvl w:val="0"/>
          <w:numId w:val="3"/>
        </w:numPr>
        <w:jc w:val="both"/>
        <w:rPr>
          <w:rFonts w:cs="Arial"/>
        </w:rPr>
      </w:pPr>
      <w:r>
        <w:rPr>
          <w:rFonts w:cs="Arial"/>
        </w:rPr>
        <w:t>a person a member is living with as if they were civil partners.</w:t>
      </w:r>
    </w:p>
    <w:p w:rsidR="00BC645C" w:rsidRDefault="00BC645C" w:rsidP="00BC645C">
      <w:pPr>
        <w:jc w:val="both"/>
        <w:rPr>
          <w:rFonts w:cs="Arial"/>
        </w:rPr>
      </w:pPr>
    </w:p>
    <w:p w:rsidR="00BC645C" w:rsidRDefault="00BC645C" w:rsidP="00BC645C">
      <w:pPr>
        <w:jc w:val="both"/>
        <w:rPr>
          <w:rFonts w:cs="Arial"/>
        </w:rPr>
      </w:pPr>
      <w:r>
        <w:rPr>
          <w:rFonts w:cs="Arial"/>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rsidR="00BC645C" w:rsidRDefault="00BC645C" w:rsidP="00BC645C">
      <w:pPr>
        <w:jc w:val="both"/>
        <w:rPr>
          <w:rFonts w:cs="Arial"/>
        </w:rPr>
      </w:pPr>
    </w:p>
    <w:p w:rsidR="00BC645C" w:rsidRDefault="00BC645C" w:rsidP="00BC645C">
      <w:pPr>
        <w:jc w:val="both"/>
        <w:rPr>
          <w:rFonts w:cs="Arial"/>
          <w:b/>
        </w:rPr>
      </w:pPr>
      <w:r>
        <w:rPr>
          <w:rFonts w:cs="Arial"/>
          <w:b/>
        </w:rPr>
        <w:t>10.</w:t>
      </w:r>
      <w:r>
        <w:rPr>
          <w:rFonts w:cs="Arial"/>
          <w:b/>
        </w:rPr>
        <w:tab/>
        <w:t>Sensitive Interests</w:t>
      </w:r>
    </w:p>
    <w:p w:rsidR="00BC645C" w:rsidRDefault="00BC645C" w:rsidP="00BC645C">
      <w:pPr>
        <w:ind w:left="680"/>
        <w:jc w:val="both"/>
        <w:rPr>
          <w:rFonts w:cs="Arial"/>
        </w:rPr>
      </w:pPr>
      <w:r>
        <w:rPr>
          <w:rFonts w:cs="Arial"/>
        </w:rPr>
        <w:t>Where you consider that disclosure of the details of a Disclosable Pecuniary Interest could lead to you, or a person connected with you, being subject to violence or intimidation, and the Monitoring Officer agrees, if the interest is entered on the register, copies of the register that are made available for inspection and any published version of the register will exclude details of the interest, but may state that you have a Disclosable Pecuniary Interest, the details of which are withheld under section 32(2) of the Localism Act 2011</w:t>
      </w: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b/>
        </w:rPr>
      </w:pPr>
      <w:r>
        <w:rPr>
          <w:rFonts w:cs="Arial"/>
          <w:b/>
        </w:rPr>
        <w:t>11.</w:t>
      </w:r>
      <w:r>
        <w:rPr>
          <w:rFonts w:cs="Arial"/>
          <w:b/>
        </w:rPr>
        <w:tab/>
        <w:t xml:space="preserve">Effect of Disclosable Pecuniary Interests on Participation </w:t>
      </w:r>
    </w:p>
    <w:p w:rsidR="00BC645C" w:rsidRDefault="00BC645C" w:rsidP="00BC645C">
      <w:pPr>
        <w:ind w:left="675" w:hanging="675"/>
        <w:jc w:val="both"/>
        <w:rPr>
          <w:rFonts w:cs="Arial"/>
        </w:rPr>
      </w:pPr>
      <w:r>
        <w:rPr>
          <w:rFonts w:cs="Arial"/>
        </w:rPr>
        <w:t>11.1</w:t>
      </w:r>
      <w:r>
        <w:rPr>
          <w:rFonts w:cs="Arial"/>
        </w:rPr>
        <w:tab/>
        <w:t>If you are present at a meeting of the authority and you have a Disclosable Pecuniary Interest in any matter to be considered or being considered at the meeting:</w:t>
      </w:r>
    </w:p>
    <w:p w:rsidR="00BC645C" w:rsidRDefault="00BC645C" w:rsidP="00BC645C">
      <w:pPr>
        <w:numPr>
          <w:ilvl w:val="0"/>
          <w:numId w:val="4"/>
        </w:numPr>
        <w:jc w:val="both"/>
        <w:rPr>
          <w:rFonts w:cs="Arial"/>
        </w:rPr>
      </w:pPr>
      <w:r>
        <w:rPr>
          <w:rFonts w:cs="Arial"/>
        </w:rPr>
        <w:t>You may not participate in any discussion of the matter at the meeting.</w:t>
      </w:r>
    </w:p>
    <w:p w:rsidR="00BC645C" w:rsidRDefault="00BC645C" w:rsidP="00BC645C">
      <w:pPr>
        <w:numPr>
          <w:ilvl w:val="0"/>
          <w:numId w:val="4"/>
        </w:numPr>
        <w:jc w:val="both"/>
        <w:rPr>
          <w:rFonts w:cs="Arial"/>
        </w:rPr>
      </w:pPr>
      <w:r>
        <w:rPr>
          <w:rFonts w:cs="Arial"/>
        </w:rPr>
        <w:t>You may not participate in any vote taken on the matter at the meeting.</w:t>
      </w:r>
    </w:p>
    <w:p w:rsidR="00BC645C" w:rsidRDefault="00BC645C" w:rsidP="00BC645C">
      <w:pPr>
        <w:numPr>
          <w:ilvl w:val="0"/>
          <w:numId w:val="4"/>
        </w:numPr>
        <w:jc w:val="both"/>
        <w:rPr>
          <w:rFonts w:cs="Arial"/>
        </w:rPr>
      </w:pPr>
      <w:r>
        <w:rPr>
          <w:rFonts w:cs="Arial"/>
        </w:rPr>
        <w:t>If the interest is not registered, you must disclose the interest to the meeting.</w:t>
      </w:r>
    </w:p>
    <w:p w:rsidR="00BC645C" w:rsidRDefault="00BC645C" w:rsidP="00BC645C">
      <w:pPr>
        <w:numPr>
          <w:ilvl w:val="0"/>
          <w:numId w:val="4"/>
        </w:numPr>
        <w:jc w:val="both"/>
        <w:rPr>
          <w:rFonts w:cs="Arial"/>
        </w:rPr>
      </w:pPr>
      <w:r>
        <w:rPr>
          <w:rFonts w:cs="Arial"/>
        </w:rPr>
        <w:t>If the interest is not registered and is not the subject matter of a pending notification, you must notify the Monitoring Officer of the interest within 28 days.</w:t>
      </w:r>
    </w:p>
    <w:p w:rsidR="00BC645C" w:rsidRDefault="00BC645C" w:rsidP="00BC645C">
      <w:pPr>
        <w:jc w:val="both"/>
        <w:rPr>
          <w:rFonts w:cs="Arial"/>
        </w:rPr>
      </w:pPr>
      <w:r>
        <w:rPr>
          <w:rFonts w:cs="Arial"/>
        </w:rPr>
        <w:t>Note: If paragraph 11.1 applies you are required to leave the room where the meeting is held while any discussion or voting takes place.</w:t>
      </w:r>
      <w:r>
        <w:rPr>
          <w:rFonts w:cs="Arial"/>
        </w:rPr>
        <w:tab/>
      </w:r>
    </w:p>
    <w:p w:rsidR="00367F53" w:rsidRDefault="00367F53" w:rsidP="00BC645C">
      <w:pPr>
        <w:jc w:val="both"/>
        <w:rPr>
          <w:rFonts w:cs="Arial"/>
        </w:rPr>
      </w:pPr>
    </w:p>
    <w:p w:rsidR="00BC645C" w:rsidRDefault="00BC645C" w:rsidP="00BC645C">
      <w:pPr>
        <w:jc w:val="both"/>
        <w:rPr>
          <w:rFonts w:cs="Arial"/>
          <w:b/>
        </w:rPr>
      </w:pPr>
      <w:r>
        <w:rPr>
          <w:rFonts w:cs="Arial"/>
          <w:b/>
        </w:rPr>
        <w:t>12.</w:t>
      </w:r>
      <w:r>
        <w:rPr>
          <w:rFonts w:cs="Arial"/>
          <w:b/>
        </w:rPr>
        <w:tab/>
        <w:t xml:space="preserve">Dispensations </w:t>
      </w:r>
    </w:p>
    <w:p w:rsidR="00BC645C" w:rsidRDefault="00BC645C" w:rsidP="00BC645C">
      <w:pPr>
        <w:ind w:left="680"/>
        <w:jc w:val="both"/>
        <w:rPr>
          <w:rFonts w:cs="Arial"/>
        </w:rPr>
      </w:pPr>
      <w:r>
        <w:rPr>
          <w:rFonts w:cs="Arial"/>
        </w:rPr>
        <w:t xml:space="preserve">The Council may grant you a dispensation, but only in limited circumstances, to enable you to participate and vote on a matter on which you have a Disclosable Pecuniary Interest. </w:t>
      </w:r>
    </w:p>
    <w:p w:rsidR="00BC645C" w:rsidRDefault="00BC645C" w:rsidP="00BC645C">
      <w:pPr>
        <w:jc w:val="both"/>
        <w:rPr>
          <w:rFonts w:cs="Arial"/>
        </w:rPr>
      </w:pPr>
    </w:p>
    <w:p w:rsidR="00BC645C" w:rsidRDefault="00BC645C" w:rsidP="00BC645C">
      <w:pPr>
        <w:jc w:val="both"/>
        <w:rPr>
          <w:rFonts w:cs="Arial"/>
          <w:b/>
        </w:rPr>
      </w:pPr>
      <w:r>
        <w:rPr>
          <w:rFonts w:cs="Arial"/>
          <w:b/>
        </w:rPr>
        <w:t>13.</w:t>
      </w:r>
      <w:r>
        <w:rPr>
          <w:rFonts w:cs="Arial"/>
          <w:b/>
        </w:rPr>
        <w:tab/>
        <w:t xml:space="preserve">Offences </w:t>
      </w:r>
    </w:p>
    <w:p w:rsidR="00BC645C" w:rsidRDefault="00BC645C" w:rsidP="00BC645C">
      <w:pPr>
        <w:ind w:firstLine="680"/>
        <w:jc w:val="both"/>
        <w:rPr>
          <w:rFonts w:cs="Arial"/>
        </w:rPr>
      </w:pPr>
      <w:r>
        <w:rPr>
          <w:rFonts w:cs="Arial"/>
        </w:rPr>
        <w:t xml:space="preserve">It is a criminal offence to:  </w:t>
      </w:r>
    </w:p>
    <w:p w:rsidR="00BC645C" w:rsidRDefault="00BC645C" w:rsidP="00BC645C">
      <w:pPr>
        <w:numPr>
          <w:ilvl w:val="0"/>
          <w:numId w:val="5"/>
        </w:numPr>
        <w:jc w:val="both"/>
        <w:rPr>
          <w:rFonts w:cs="Arial"/>
        </w:rPr>
      </w:pPr>
      <w:r>
        <w:rPr>
          <w:rFonts w:cs="Arial"/>
        </w:rPr>
        <w:t>Fail to notify the Monitoring Officer of any Disclosable Pecuniary Interest within 28 days of election;</w:t>
      </w:r>
    </w:p>
    <w:p w:rsidR="00BC645C" w:rsidRDefault="00BC645C" w:rsidP="00BC645C">
      <w:pPr>
        <w:numPr>
          <w:ilvl w:val="0"/>
          <w:numId w:val="5"/>
        </w:numPr>
        <w:jc w:val="both"/>
        <w:rPr>
          <w:rFonts w:cs="Arial"/>
        </w:rPr>
      </w:pPr>
      <w:r>
        <w:rPr>
          <w:rFonts w:cs="Arial"/>
        </w:rPr>
        <w:t>Fail to disclose a Disclosable Pecuniary Interest at a meeting if it is not on the register;</w:t>
      </w:r>
    </w:p>
    <w:p w:rsidR="00BC645C" w:rsidRDefault="00BC645C" w:rsidP="00BC645C">
      <w:pPr>
        <w:numPr>
          <w:ilvl w:val="0"/>
          <w:numId w:val="5"/>
        </w:numPr>
        <w:jc w:val="both"/>
        <w:rPr>
          <w:rFonts w:cs="Arial"/>
        </w:rPr>
      </w:pPr>
      <w:r>
        <w:rPr>
          <w:rFonts w:cs="Arial"/>
        </w:rPr>
        <w:t>Fail to notify the Monitoring Officer within 28 days of a Disclosable Pecuniary Interest that is not on the register that you have disclosed to a meeting;</w:t>
      </w:r>
    </w:p>
    <w:p w:rsidR="00BC645C" w:rsidRDefault="00BC645C" w:rsidP="00BC645C">
      <w:pPr>
        <w:numPr>
          <w:ilvl w:val="0"/>
          <w:numId w:val="5"/>
        </w:numPr>
        <w:jc w:val="both"/>
        <w:rPr>
          <w:rFonts w:cs="Arial"/>
        </w:rPr>
      </w:pPr>
      <w:r>
        <w:rPr>
          <w:rFonts w:cs="Arial"/>
        </w:rPr>
        <w:t>Participate in any discussion or vote on a matter in which you have a Disclosable Pecuniary Interest;</w:t>
      </w:r>
    </w:p>
    <w:p w:rsidR="00BC645C" w:rsidRDefault="00BC645C" w:rsidP="00BC645C">
      <w:pPr>
        <w:numPr>
          <w:ilvl w:val="0"/>
          <w:numId w:val="5"/>
        </w:numPr>
        <w:jc w:val="both"/>
        <w:rPr>
          <w:rFonts w:cs="Arial"/>
        </w:rPr>
      </w:pPr>
      <w:r>
        <w:rPr>
          <w:rFonts w:cs="Arial"/>
        </w:rPr>
        <w:t>Knowingly or recklessly providing information that is false or misleading in notifying the Monitoring Officer of a Disclosable Pecuniary Interest or in disclosing such interest to a meeting.</w:t>
      </w:r>
    </w:p>
    <w:p w:rsidR="00BC645C" w:rsidRDefault="00BC645C" w:rsidP="00BC645C">
      <w:pPr>
        <w:ind w:left="680"/>
        <w:jc w:val="both"/>
        <w:rPr>
          <w:rFonts w:cs="Arial"/>
        </w:rPr>
      </w:pPr>
      <w:r>
        <w:rPr>
          <w:rFonts w:cs="Arial"/>
        </w:rPr>
        <w:t>The criminal penalties available to a court are to impose a fine not exceeding level 5 on the standard scale and disqualification from being a councillor for up to 5 years.</w:t>
      </w: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367F53" w:rsidRDefault="00367F53" w:rsidP="00BC645C">
      <w:pPr>
        <w:jc w:val="both"/>
        <w:rPr>
          <w:rFonts w:cs="Arial"/>
          <w:b/>
        </w:rPr>
      </w:pPr>
    </w:p>
    <w:p w:rsidR="00367F53" w:rsidRDefault="00367F53" w:rsidP="00BC645C">
      <w:pPr>
        <w:jc w:val="both"/>
        <w:rPr>
          <w:rFonts w:cs="Arial"/>
          <w:b/>
        </w:rPr>
      </w:pPr>
    </w:p>
    <w:p w:rsidR="00367F53" w:rsidRDefault="00367F53" w:rsidP="00BC645C">
      <w:pPr>
        <w:jc w:val="both"/>
        <w:rPr>
          <w:rFonts w:cs="Arial"/>
          <w:b/>
        </w:rPr>
      </w:pPr>
    </w:p>
    <w:p w:rsidR="00367F53" w:rsidRDefault="00367F53" w:rsidP="00BC645C">
      <w:pPr>
        <w:jc w:val="both"/>
        <w:rPr>
          <w:rFonts w:cs="Arial"/>
          <w:b/>
        </w:rPr>
      </w:pPr>
    </w:p>
    <w:p w:rsidR="00367F53" w:rsidRDefault="00367F53" w:rsidP="00BC645C">
      <w:pPr>
        <w:jc w:val="both"/>
        <w:rPr>
          <w:rFonts w:cs="Arial"/>
          <w:b/>
        </w:rPr>
      </w:pPr>
    </w:p>
    <w:p w:rsidR="00367F53" w:rsidRDefault="00367F53" w:rsidP="00BC645C">
      <w:pPr>
        <w:jc w:val="both"/>
        <w:rPr>
          <w:rFonts w:cs="Arial"/>
          <w:b/>
        </w:rPr>
      </w:pPr>
    </w:p>
    <w:p w:rsidR="00367F53" w:rsidRDefault="00367F53"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r>
        <w:rPr>
          <w:rFonts w:cs="Arial"/>
          <w:b/>
        </w:rPr>
        <w:t>Part 3 OTHER INTERESTS</w:t>
      </w:r>
    </w:p>
    <w:p w:rsidR="00BC645C" w:rsidRDefault="00BC645C" w:rsidP="00BC645C">
      <w:pPr>
        <w:jc w:val="both"/>
        <w:rPr>
          <w:rFonts w:cs="Arial"/>
          <w:b/>
        </w:rPr>
      </w:pPr>
    </w:p>
    <w:p w:rsidR="00BC645C" w:rsidRDefault="00BC645C" w:rsidP="00BC645C">
      <w:pPr>
        <w:jc w:val="both"/>
        <w:rPr>
          <w:rFonts w:cs="Arial"/>
          <w:b/>
        </w:rPr>
      </w:pPr>
      <w:r>
        <w:rPr>
          <w:rFonts w:cs="Arial"/>
          <w:b/>
        </w:rPr>
        <w:t>14.</w:t>
      </w:r>
      <w:r>
        <w:rPr>
          <w:rFonts w:cs="Arial"/>
          <w:b/>
        </w:rPr>
        <w:tab/>
        <w:t>Notification of Other Interests</w:t>
      </w:r>
    </w:p>
    <w:p w:rsidR="00BC645C" w:rsidRDefault="00BC645C" w:rsidP="00BC645C">
      <w:pPr>
        <w:ind w:left="675" w:hanging="675"/>
        <w:jc w:val="both"/>
        <w:rPr>
          <w:rFonts w:cs="Arial"/>
        </w:rPr>
      </w:pPr>
      <w:r>
        <w:rPr>
          <w:rFonts w:cs="Arial"/>
        </w:rPr>
        <w:t>14.1</w:t>
      </w:r>
      <w:r>
        <w:rPr>
          <w:rFonts w:cs="Arial"/>
          <w:b/>
        </w:rPr>
        <w:tab/>
      </w:r>
      <w:r>
        <w:rPr>
          <w:rFonts w:cs="Arial"/>
        </w:rPr>
        <w:t xml:space="preserve">In addition to Disclosable Pecuniary Interests you must, within 28 days of your election or appointment to office as a Member notify the Monitoring Officer in writing of details of your interests within the following categories, for inclusion in the register of interests: </w:t>
      </w:r>
    </w:p>
    <w:p w:rsidR="00BC645C" w:rsidRDefault="00BC645C" w:rsidP="00BC645C">
      <w:pPr>
        <w:ind w:left="680"/>
        <w:jc w:val="both"/>
        <w:rPr>
          <w:rFonts w:cs="Arial"/>
        </w:rPr>
      </w:pPr>
      <w:r>
        <w:rPr>
          <w:rFonts w:cs="Arial"/>
        </w:rPr>
        <w:t>(a)</w:t>
      </w:r>
      <w:r>
        <w:rPr>
          <w:rFonts w:cs="Arial"/>
        </w:rPr>
        <w:tab/>
        <w:t>Details of any body of which you are a member or in a position of general control or management to which you are appointed or nominated by this council;</w:t>
      </w:r>
    </w:p>
    <w:p w:rsidR="00BC645C" w:rsidRDefault="00BC645C" w:rsidP="00BC645C">
      <w:pPr>
        <w:ind w:left="680"/>
        <w:jc w:val="both"/>
        <w:rPr>
          <w:rFonts w:cs="Arial"/>
        </w:rPr>
      </w:pPr>
      <w:r>
        <w:rPr>
          <w:rFonts w:cs="Arial"/>
        </w:rPr>
        <w:t>(b)</w:t>
      </w:r>
      <w:r>
        <w:rPr>
          <w:rFonts w:cs="Arial"/>
        </w:rPr>
        <w:tab/>
        <w:t>Details of any body exercising functions of a public nature, any body directed to charitable purposes or any body one of whose principal purposes includes the influence of public opinion or policy (including any political party or trade union), of which you are a member or in a position of general control or management;</w:t>
      </w:r>
    </w:p>
    <w:p w:rsidR="00BC645C" w:rsidRDefault="00BC645C" w:rsidP="00BC645C">
      <w:pPr>
        <w:ind w:left="680"/>
        <w:jc w:val="both"/>
        <w:rPr>
          <w:rFonts w:cs="Arial"/>
        </w:rPr>
      </w:pPr>
      <w:r>
        <w:rPr>
          <w:rFonts w:cs="Arial"/>
        </w:rPr>
        <w:t>(c)</w:t>
      </w:r>
      <w:r>
        <w:rPr>
          <w:rFonts w:cs="Arial"/>
        </w:rPr>
        <w:tab/>
        <w:t xml:space="preserve">Details of any gift or hospitality with an estimated value of at least £25 that you have received in connection with your role as a Member and details of the donor </w:t>
      </w:r>
    </w:p>
    <w:p w:rsidR="00BC645C" w:rsidRDefault="00BC645C" w:rsidP="00BC645C">
      <w:pPr>
        <w:ind w:left="675" w:hanging="675"/>
        <w:jc w:val="both"/>
        <w:rPr>
          <w:rFonts w:cs="Arial"/>
          <w:b/>
        </w:rPr>
      </w:pPr>
      <w:r>
        <w:rPr>
          <w:rFonts w:cs="Arial"/>
        </w:rPr>
        <w:t>14.2</w:t>
      </w:r>
      <w:r>
        <w:rPr>
          <w:rFonts w:cs="Arial"/>
        </w:rPr>
        <w:tab/>
        <w:t>You must, within 28 days of becoming aware of any new interest or change to any interest registered under this paragraph notify the Monitoring Officer of the details of that new interest or change.</w:t>
      </w:r>
    </w:p>
    <w:p w:rsidR="00BC645C" w:rsidRDefault="00BC645C" w:rsidP="00BC645C">
      <w:pPr>
        <w:ind w:left="675" w:hanging="675"/>
        <w:jc w:val="both"/>
        <w:rPr>
          <w:rFonts w:cs="Arial"/>
        </w:rPr>
      </w:pPr>
      <w:r>
        <w:rPr>
          <w:rFonts w:cs="Arial"/>
        </w:rPr>
        <w:t>14.3</w:t>
      </w:r>
      <w:r>
        <w:rPr>
          <w:rFonts w:cs="Arial"/>
        </w:rPr>
        <w:tab/>
        <w:t>Any interests notified to the Monitoring Officer will be included in the register of interests.  A copy of the register will be available for public inspection and will be published on the Council’s website.</w:t>
      </w:r>
    </w:p>
    <w:p w:rsidR="00BC645C" w:rsidRDefault="00BC645C" w:rsidP="00BC645C">
      <w:pPr>
        <w:ind w:left="675" w:hanging="675"/>
        <w:jc w:val="both"/>
        <w:rPr>
          <w:rFonts w:cs="Arial"/>
        </w:rPr>
      </w:pPr>
      <w:r>
        <w:rPr>
          <w:rFonts w:cs="Arial"/>
        </w:rPr>
        <w:t>14.4</w:t>
      </w:r>
      <w:r>
        <w:rPr>
          <w:rFonts w:cs="Arial"/>
        </w:rPr>
        <w:tab/>
        <w:t>Where a Disclosable Pecuniary Interest is notified to the Monitoring Officer under Part 2, paragraph 8 above it need not be separately notified or separately registered again as an interest under this Part 3 of the Code.</w:t>
      </w:r>
    </w:p>
    <w:p w:rsidR="00BC645C" w:rsidRDefault="00BC645C" w:rsidP="00BC645C">
      <w:pPr>
        <w:jc w:val="both"/>
        <w:rPr>
          <w:rFonts w:cs="Arial"/>
          <w:b/>
        </w:rPr>
      </w:pPr>
    </w:p>
    <w:p w:rsidR="00BC645C" w:rsidRDefault="00BC645C" w:rsidP="00BC645C">
      <w:pPr>
        <w:jc w:val="both"/>
        <w:rPr>
          <w:rFonts w:cs="Arial"/>
          <w:b/>
        </w:rPr>
      </w:pPr>
      <w:r>
        <w:rPr>
          <w:rFonts w:cs="Arial"/>
          <w:b/>
        </w:rPr>
        <w:t>15.</w:t>
      </w:r>
      <w:r>
        <w:rPr>
          <w:rFonts w:cs="Arial"/>
          <w:b/>
        </w:rPr>
        <w:tab/>
        <w:t>Disclosure of Other Interests</w:t>
      </w:r>
    </w:p>
    <w:p w:rsidR="00BC645C" w:rsidRDefault="00BC645C" w:rsidP="00BC645C">
      <w:pPr>
        <w:ind w:left="675" w:hanging="675"/>
        <w:jc w:val="both"/>
        <w:rPr>
          <w:rFonts w:cs="Arial"/>
        </w:rPr>
      </w:pPr>
      <w:r>
        <w:rPr>
          <w:rFonts w:cs="Arial"/>
        </w:rPr>
        <w:t>15.1</w:t>
      </w:r>
      <w:r>
        <w:rPr>
          <w:rFonts w:cs="Arial"/>
        </w:rPr>
        <w:tab/>
        <w:t>Subject to 15.2 to 15.5, where you have an interest described in paragraph 14 above or in 15.2 below in any business of the Council, and where you are aware or ought reasonably to be aware of the existence of that interest, and you attend a meeting of the Council at which the business is considered, you must disclose to that meeting the existence and nature of that interest at the commencement of that consideration, or when the interest becomes apparent.</w:t>
      </w:r>
    </w:p>
    <w:p w:rsidR="00BC645C" w:rsidRDefault="00BC645C" w:rsidP="00BC645C">
      <w:pPr>
        <w:ind w:left="675" w:hanging="675"/>
        <w:jc w:val="both"/>
        <w:rPr>
          <w:rFonts w:cs="Arial"/>
        </w:rPr>
      </w:pPr>
      <w:r>
        <w:rPr>
          <w:rFonts w:cs="Arial"/>
        </w:rPr>
        <w:t>15.2</w:t>
      </w:r>
      <w:r>
        <w:rPr>
          <w:rFonts w:cs="Arial"/>
        </w:rPr>
        <w:tab/>
        <w:t>You have an interest in any business of the Council</w:t>
      </w:r>
      <w:bookmarkStart w:id="0" w:name="LastEdit"/>
      <w:bookmarkEnd w:id="0"/>
      <w:r>
        <w:rPr>
          <w:rFonts w:cs="Arial"/>
        </w:rPr>
        <w:t xml:space="preserve"> where a decision in relation to that business might reasonably be regarded as affecting your well-being or financial position or the well-being or financial position of a member of your family or any person with whom you have a close association.</w:t>
      </w:r>
    </w:p>
    <w:p w:rsidR="00BC645C" w:rsidRDefault="00BC645C" w:rsidP="00BC645C">
      <w:pPr>
        <w:ind w:left="675" w:hanging="675"/>
        <w:jc w:val="both"/>
        <w:rPr>
          <w:rFonts w:cs="Arial"/>
        </w:rPr>
      </w:pPr>
      <w:r>
        <w:rPr>
          <w:rFonts w:cs="Arial"/>
        </w:rPr>
        <w:t>15.3</w:t>
      </w:r>
      <w:r>
        <w:rPr>
          <w:rFonts w:cs="Arial"/>
        </w:rPr>
        <w:tab/>
        <w:t>Where you have an interest in any business of the Council of the type mentioned in paragraph 14.1(c) you need not disclose the nature or existence of that interest to the meeting if the interest was registered more than three years before the date of the meeting.</w:t>
      </w:r>
    </w:p>
    <w:p w:rsidR="00BC645C" w:rsidRDefault="00BC645C" w:rsidP="00BC645C">
      <w:pPr>
        <w:ind w:left="675" w:hanging="675"/>
        <w:jc w:val="both"/>
        <w:rPr>
          <w:rFonts w:cs="Arial"/>
        </w:rPr>
      </w:pPr>
      <w:r>
        <w:rPr>
          <w:rFonts w:cs="Arial"/>
        </w:rPr>
        <w:t>15.4</w:t>
      </w:r>
      <w:r>
        <w:rPr>
          <w:rFonts w:cs="Arial"/>
        </w:rPr>
        <w:tab/>
        <w:t>Where you have an interest by virtue of paragraph 14 but, by virtue of paragraph 17 below, (Sensitive Interests) relating to it is not registered in the register of members’ interests, you must indicate to the meeting that you have an interest, but need not disclose the sensitive information to the meeting.</w:t>
      </w:r>
    </w:p>
    <w:p w:rsidR="00BC645C" w:rsidRDefault="00BC645C" w:rsidP="00BC645C">
      <w:pPr>
        <w:ind w:left="675" w:hanging="675"/>
        <w:jc w:val="both"/>
        <w:rPr>
          <w:rFonts w:cs="Arial"/>
        </w:rPr>
      </w:pPr>
      <w:r>
        <w:rPr>
          <w:rFonts w:cs="Arial"/>
        </w:rPr>
        <w:t>15.5</w:t>
      </w:r>
      <w:r>
        <w:rPr>
          <w:rFonts w:cs="Arial"/>
        </w:rPr>
        <w:tab/>
        <w:t>Where you have an interest in any business of the Council by virtue of paragraph 14 or 15.2, and you have made an executive decision (as defined in section 22 Local Government Act 2000) in relation to that business, you must ensure that any written statement of that decision records the existence and nature of that interest.</w:t>
      </w: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r>
        <w:rPr>
          <w:rFonts w:cs="Arial"/>
          <w:b/>
        </w:rPr>
        <w:t>16.</w:t>
      </w:r>
      <w:r>
        <w:rPr>
          <w:rFonts w:cs="Arial"/>
          <w:b/>
        </w:rPr>
        <w:tab/>
      </w:r>
      <w:r>
        <w:rPr>
          <w:rFonts w:cs="Arial"/>
          <w:b/>
          <w:bCs/>
        </w:rPr>
        <w:t>Non participation in case of certain other interests</w:t>
      </w:r>
    </w:p>
    <w:p w:rsidR="00BC645C" w:rsidRDefault="00BC645C" w:rsidP="00BC645C">
      <w:pPr>
        <w:ind w:left="675" w:hanging="675"/>
        <w:jc w:val="both"/>
        <w:rPr>
          <w:rFonts w:cs="Arial"/>
        </w:rPr>
      </w:pPr>
      <w:r>
        <w:rPr>
          <w:rFonts w:cs="Arial"/>
        </w:rPr>
        <w:t>16.1</w:t>
      </w:r>
      <w:r>
        <w:rPr>
          <w:rFonts w:cs="Arial"/>
        </w:rPr>
        <w:tab/>
        <w:t>Where you have an interest in any business of the Council by virtue of paragraph 14 or 15.2 and the interest is one which a member of the public with knowledge of the relevant facts would reasonably regard as so significant that it is likely to prejudice your judgment of the public interest and</w:t>
      </w:r>
      <w:r>
        <w:rPr>
          <w:rFonts w:cs="Arial"/>
          <w:b/>
          <w:bCs/>
        </w:rPr>
        <w:t xml:space="preserve"> </w:t>
      </w:r>
      <w:r>
        <w:rPr>
          <w:rFonts w:cs="Arial"/>
        </w:rPr>
        <w:t xml:space="preserve">where that business: </w:t>
      </w:r>
    </w:p>
    <w:p w:rsidR="00BC645C" w:rsidRDefault="00BC645C" w:rsidP="00BC645C">
      <w:pPr>
        <w:ind w:left="680"/>
        <w:jc w:val="both"/>
        <w:rPr>
          <w:rFonts w:cs="Arial"/>
        </w:rPr>
      </w:pPr>
      <w:r>
        <w:rPr>
          <w:rFonts w:cs="Arial"/>
        </w:rPr>
        <w:t>(a)</w:t>
      </w:r>
      <w:r>
        <w:rPr>
          <w:rFonts w:cs="Arial"/>
        </w:rPr>
        <w:tab/>
        <w:t>affects your financial position or the financial position of a Relevant Person through whom the interest arises; or</w:t>
      </w:r>
    </w:p>
    <w:p w:rsidR="00BC645C" w:rsidRDefault="00BC645C" w:rsidP="00BC645C">
      <w:pPr>
        <w:ind w:left="680"/>
        <w:jc w:val="both"/>
        <w:rPr>
          <w:rFonts w:cs="Arial"/>
        </w:rPr>
      </w:pPr>
      <w:r>
        <w:rPr>
          <w:rFonts w:cs="Arial"/>
        </w:rPr>
        <w:t>(b)</w:t>
      </w:r>
      <w:r>
        <w:rPr>
          <w:rFonts w:cs="Arial"/>
        </w:rPr>
        <w:tab/>
        <w:t>relates to the determining of any approval, consent, licence, permission or registration in relation to you or a Relevant Person</w:t>
      </w:r>
    </w:p>
    <w:p w:rsidR="00BC645C" w:rsidRDefault="00BC645C" w:rsidP="00BC645C">
      <w:pPr>
        <w:jc w:val="both"/>
        <w:rPr>
          <w:rFonts w:cs="Arial"/>
        </w:rPr>
      </w:pPr>
      <w:r>
        <w:rPr>
          <w:rFonts w:cs="Arial"/>
        </w:rPr>
        <w:t>you may not participate in any discussion of the matter at the meeting, and you may not participate in any vote taken on the matter at the meeting.</w:t>
      </w:r>
    </w:p>
    <w:p w:rsidR="00BC645C" w:rsidRDefault="00BC645C" w:rsidP="00BC645C">
      <w:pPr>
        <w:ind w:left="680"/>
        <w:jc w:val="both"/>
        <w:rPr>
          <w:rFonts w:cs="Arial"/>
        </w:rPr>
      </w:pPr>
    </w:p>
    <w:p w:rsidR="00BC645C" w:rsidRDefault="00BC645C" w:rsidP="00BC645C">
      <w:pPr>
        <w:ind w:left="680"/>
        <w:jc w:val="both"/>
        <w:rPr>
          <w:rFonts w:cs="Arial"/>
        </w:rPr>
      </w:pPr>
      <w:r>
        <w:rPr>
          <w:rFonts w:cs="Arial"/>
        </w:rPr>
        <w:t xml:space="preserve">“Relevant Person” means </w:t>
      </w:r>
    </w:p>
    <w:p w:rsidR="00BC645C" w:rsidRDefault="00BC645C" w:rsidP="00BC645C">
      <w:pPr>
        <w:numPr>
          <w:ilvl w:val="0"/>
          <w:numId w:val="6"/>
        </w:numPr>
        <w:jc w:val="both"/>
        <w:rPr>
          <w:rFonts w:cs="Arial"/>
        </w:rPr>
      </w:pPr>
      <w:r>
        <w:rPr>
          <w:rFonts w:cs="Arial"/>
        </w:rPr>
        <w:t>a member of your family;</w:t>
      </w:r>
    </w:p>
    <w:p w:rsidR="00BC645C" w:rsidRDefault="00BC645C" w:rsidP="00BC645C">
      <w:pPr>
        <w:numPr>
          <w:ilvl w:val="0"/>
          <w:numId w:val="6"/>
        </w:numPr>
        <w:jc w:val="both"/>
        <w:rPr>
          <w:rFonts w:cs="Arial"/>
        </w:rPr>
      </w:pPr>
      <w:r>
        <w:rPr>
          <w:rFonts w:cs="Arial"/>
        </w:rPr>
        <w:t>any person with whom you have a close association;</w:t>
      </w:r>
    </w:p>
    <w:p w:rsidR="00BC645C" w:rsidRDefault="00BC645C" w:rsidP="00BC645C">
      <w:pPr>
        <w:numPr>
          <w:ilvl w:val="0"/>
          <w:numId w:val="6"/>
        </w:numPr>
        <w:jc w:val="both"/>
        <w:rPr>
          <w:rFonts w:cs="Arial"/>
        </w:rPr>
      </w:pPr>
      <w:r>
        <w:rPr>
          <w:rFonts w:cs="Arial"/>
        </w:rPr>
        <w:t>an employer of any a person described in (i) and/or (ii) above;</w:t>
      </w:r>
    </w:p>
    <w:p w:rsidR="00BC645C" w:rsidRDefault="00BC645C" w:rsidP="00BC645C">
      <w:pPr>
        <w:numPr>
          <w:ilvl w:val="0"/>
          <w:numId w:val="6"/>
        </w:numPr>
        <w:jc w:val="both"/>
        <w:rPr>
          <w:rFonts w:cs="Arial"/>
        </w:rPr>
      </w:pPr>
      <w:r>
        <w:rPr>
          <w:rFonts w:cs="Arial"/>
        </w:rPr>
        <w:t>a firm in which a person described in (i) and/or (ii) above is a partner;</w:t>
      </w:r>
    </w:p>
    <w:p w:rsidR="00BC645C" w:rsidRDefault="00BC645C" w:rsidP="00BC645C">
      <w:pPr>
        <w:numPr>
          <w:ilvl w:val="0"/>
          <w:numId w:val="6"/>
        </w:numPr>
        <w:jc w:val="both"/>
        <w:rPr>
          <w:rFonts w:cs="Arial"/>
        </w:rPr>
      </w:pPr>
      <w:r>
        <w:rPr>
          <w:rFonts w:cs="Arial"/>
        </w:rPr>
        <w:t>a company in which a person described in (i) and/or (ii) above is a director, and,</w:t>
      </w:r>
    </w:p>
    <w:p w:rsidR="00BC645C" w:rsidRDefault="00BC645C" w:rsidP="00BC645C">
      <w:pPr>
        <w:numPr>
          <w:ilvl w:val="0"/>
          <w:numId w:val="6"/>
        </w:numPr>
        <w:jc w:val="both"/>
        <w:rPr>
          <w:rFonts w:cs="Arial"/>
        </w:rPr>
      </w:pPr>
      <w:r>
        <w:rPr>
          <w:rFonts w:cs="Arial"/>
        </w:rPr>
        <w:t>a body as described in paragraph 14.1(a) and (b) above.</w:t>
      </w:r>
    </w:p>
    <w:p w:rsidR="00BC645C" w:rsidRDefault="00BC645C" w:rsidP="00BC645C">
      <w:pPr>
        <w:jc w:val="both"/>
        <w:rPr>
          <w:rFonts w:cs="Arial"/>
          <w:b/>
        </w:rPr>
      </w:pPr>
      <w:r>
        <w:rPr>
          <w:rFonts w:cs="Arial"/>
        </w:rPr>
        <w:t>Note: If paragraph 16.1 applies you are required to leave the room where the meeting is held while any discussion or voting takes place.</w:t>
      </w:r>
    </w:p>
    <w:p w:rsidR="00BC645C" w:rsidRDefault="00BC645C" w:rsidP="00BC645C">
      <w:pPr>
        <w:ind w:left="675" w:hanging="675"/>
        <w:jc w:val="both"/>
        <w:rPr>
          <w:rFonts w:cs="Arial"/>
        </w:rPr>
      </w:pPr>
      <w:r>
        <w:rPr>
          <w:rFonts w:cs="Arial"/>
        </w:rPr>
        <w:t>16.2</w:t>
      </w:r>
      <w:r>
        <w:rPr>
          <w:rFonts w:cs="Arial"/>
        </w:rPr>
        <w:tab/>
        <w:t>Where you have an interest in any business of the Council to which paragraph 16.1 applies, you may attend a meeting but only for the purpose of making representations, answering questions or giving evidence relating to the business, provided that the public are also allowed to attend the meeting for the same purpose, whether under a statutory right or otherwise, and provided that you leave the room where the meeting is held immediately after making representations, answering questions or giving evidence.</w:t>
      </w:r>
    </w:p>
    <w:p w:rsidR="00BC645C" w:rsidRDefault="00BC645C" w:rsidP="00BC645C">
      <w:pPr>
        <w:ind w:left="675" w:hanging="675"/>
        <w:jc w:val="both"/>
        <w:rPr>
          <w:rFonts w:cs="Arial"/>
        </w:rPr>
      </w:pPr>
      <w:r>
        <w:rPr>
          <w:rFonts w:cs="Arial"/>
        </w:rPr>
        <w:t>16.3</w:t>
      </w:r>
      <w:r>
        <w:rPr>
          <w:rFonts w:cs="Arial"/>
        </w:rPr>
        <w:tab/>
        <w:t xml:space="preserve">Subject to you disclosing the interest at the meeting, you may attend a meeting and vote on a matter where you have an interest under paragraph 16.1 that relates to the functions of the Council in respect of: </w:t>
      </w:r>
    </w:p>
    <w:p w:rsidR="00BC645C" w:rsidRDefault="00BC645C" w:rsidP="00BC645C">
      <w:pPr>
        <w:numPr>
          <w:ilvl w:val="0"/>
          <w:numId w:val="7"/>
        </w:numPr>
        <w:jc w:val="both"/>
        <w:rPr>
          <w:rFonts w:cs="Arial"/>
        </w:rPr>
      </w:pPr>
      <w:r>
        <w:rPr>
          <w:rFonts w:cs="Arial"/>
        </w:rPr>
        <w:t>housing, where you are a tenant of this council provided that those functions do not relate particularly to your tenancy or lease;</w:t>
      </w:r>
    </w:p>
    <w:p w:rsidR="00BC645C" w:rsidRDefault="00BC645C" w:rsidP="00BC645C">
      <w:pPr>
        <w:numPr>
          <w:ilvl w:val="0"/>
          <w:numId w:val="7"/>
        </w:numPr>
        <w:jc w:val="both"/>
        <w:rPr>
          <w:rFonts w:cs="Arial"/>
        </w:rPr>
      </w:pPr>
      <w:r>
        <w:rPr>
          <w:rFonts w:cs="Arial"/>
        </w:rPr>
        <w:t>school meals or school transport and travelling expenses, where you are a parent or guardian of a child in full time education, or are a parent governor of a school, unless it relates particularly to the school which the child attends;</w:t>
      </w:r>
    </w:p>
    <w:p w:rsidR="00BC645C" w:rsidRDefault="00BC645C" w:rsidP="00BC645C">
      <w:pPr>
        <w:numPr>
          <w:ilvl w:val="0"/>
          <w:numId w:val="7"/>
        </w:numPr>
        <w:jc w:val="both"/>
        <w:rPr>
          <w:rFonts w:cs="Arial"/>
        </w:rPr>
      </w:pPr>
      <w:r>
        <w:rPr>
          <w:rFonts w:cs="Arial"/>
        </w:rPr>
        <w:t>an allowance, payment or indemnity given to members;</w:t>
      </w:r>
    </w:p>
    <w:p w:rsidR="00BC645C" w:rsidRDefault="00BC645C" w:rsidP="00BC645C">
      <w:pPr>
        <w:numPr>
          <w:ilvl w:val="0"/>
          <w:numId w:val="7"/>
        </w:numPr>
        <w:jc w:val="both"/>
        <w:rPr>
          <w:rFonts w:cs="Arial"/>
        </w:rPr>
      </w:pPr>
      <w:r>
        <w:rPr>
          <w:rFonts w:cs="Arial"/>
        </w:rPr>
        <w:t>any ceremonial honour given to members, and,</w:t>
      </w:r>
    </w:p>
    <w:p w:rsidR="00BC645C" w:rsidRDefault="00BC645C" w:rsidP="00BC645C">
      <w:pPr>
        <w:numPr>
          <w:ilvl w:val="0"/>
          <w:numId w:val="7"/>
        </w:numPr>
        <w:jc w:val="both"/>
        <w:rPr>
          <w:rFonts w:cs="Arial"/>
        </w:rPr>
      </w:pPr>
      <w:r>
        <w:rPr>
          <w:rFonts w:cs="Arial"/>
        </w:rPr>
        <w:t>setting council tax or a precept under the Local Government Finance Act 1992.</w:t>
      </w:r>
    </w:p>
    <w:p w:rsidR="00BC645C" w:rsidRDefault="00BC645C" w:rsidP="00BC645C">
      <w:pPr>
        <w:jc w:val="both"/>
        <w:rPr>
          <w:rFonts w:cs="Arial"/>
          <w:b/>
        </w:rPr>
      </w:pPr>
    </w:p>
    <w:p w:rsidR="00BC645C" w:rsidRDefault="00BC645C" w:rsidP="00BC645C">
      <w:pPr>
        <w:jc w:val="both"/>
        <w:rPr>
          <w:rFonts w:cs="Arial"/>
          <w:b/>
          <w:bCs/>
        </w:rPr>
      </w:pPr>
      <w:r>
        <w:rPr>
          <w:rFonts w:cs="Arial"/>
          <w:b/>
        </w:rPr>
        <w:t>17</w:t>
      </w:r>
      <w:r>
        <w:rPr>
          <w:rFonts w:cs="Arial"/>
        </w:rPr>
        <w:tab/>
      </w:r>
      <w:r>
        <w:rPr>
          <w:rFonts w:cs="Arial"/>
          <w:b/>
          <w:bCs/>
        </w:rPr>
        <w:t>Sensitive Interests</w:t>
      </w:r>
    </w:p>
    <w:p w:rsidR="00BC645C" w:rsidRDefault="00BC645C" w:rsidP="00BC645C">
      <w:pPr>
        <w:ind w:left="680"/>
        <w:jc w:val="both"/>
        <w:rPr>
          <w:rFonts w:cs="Arial"/>
        </w:rPr>
      </w:pPr>
      <w:r>
        <w:rPr>
          <w:rFonts w:cs="Arial"/>
        </w:rPr>
        <w:t>Where you consider that disclosure of the details of an interest could lead to you, or a person connected with you, being subject to violence or intimidation, and the Monitoring Officer agrees, if the interest is entered on the register, copies of the register that are made available for inspection and any published version of the register will exclude details of the interest, but may state that you have an interest, the details of which are withheld.</w:t>
      </w:r>
    </w:p>
    <w:p w:rsidR="00BC645C" w:rsidRDefault="00BC645C" w:rsidP="00BC645C">
      <w:pPr>
        <w:jc w:val="both"/>
        <w:rPr>
          <w:rFonts w:cs="Arial"/>
        </w:rPr>
      </w:pPr>
    </w:p>
    <w:p w:rsidR="00BC645C" w:rsidRDefault="00BC645C" w:rsidP="00BC645C">
      <w:pPr>
        <w:jc w:val="both"/>
        <w:rPr>
          <w:rFonts w:cs="Arial"/>
        </w:rPr>
      </w:pPr>
    </w:p>
    <w:p w:rsidR="00BC645C" w:rsidRDefault="00BC645C" w:rsidP="00BC645C">
      <w:pPr>
        <w:jc w:val="both"/>
        <w:rPr>
          <w:rFonts w:cs="Arial"/>
          <w:b/>
        </w:rPr>
      </w:pPr>
    </w:p>
    <w:p w:rsidR="00BC645C" w:rsidRDefault="00367F53" w:rsidP="00BC645C">
      <w:pPr>
        <w:jc w:val="both"/>
        <w:rPr>
          <w:rFonts w:cs="Arial"/>
        </w:rPr>
      </w:pPr>
      <w:r>
        <w:rPr>
          <w:rFonts w:cs="Arial"/>
        </w:rPr>
        <w:t>Adopted:  30</w:t>
      </w:r>
      <w:r w:rsidRPr="00367F53">
        <w:rPr>
          <w:rFonts w:cs="Arial"/>
          <w:vertAlign w:val="superscript"/>
        </w:rPr>
        <w:t>th</w:t>
      </w:r>
      <w:r>
        <w:rPr>
          <w:rFonts w:cs="Arial"/>
        </w:rPr>
        <w:t xml:space="preserve"> July, 2012</w:t>
      </w: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jc w:val="both"/>
        <w:rPr>
          <w:rFonts w:cs="Arial"/>
          <w:b/>
        </w:rPr>
      </w:pPr>
    </w:p>
    <w:p w:rsidR="00BC645C" w:rsidRDefault="00BC645C" w:rsidP="00BC645C">
      <w:pPr>
        <w:ind w:left="567" w:hanging="567"/>
        <w:jc w:val="both"/>
        <w:rPr>
          <w:rFonts w:cs="Arial"/>
        </w:rPr>
      </w:pPr>
    </w:p>
    <w:p w:rsidR="00BC645C" w:rsidRDefault="00BC645C" w:rsidP="00BC645C">
      <w:pPr>
        <w:ind w:left="567" w:hanging="567"/>
        <w:jc w:val="both"/>
        <w:rPr>
          <w:rFonts w:cs="Arial"/>
        </w:rPr>
      </w:pPr>
    </w:p>
    <w:p w:rsidR="00FA7E13" w:rsidRDefault="00FA7E13"/>
    <w:sectPr w:rsidR="00FA7E1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6A" w:rsidRDefault="00DB326A" w:rsidP="00AC3DED">
      <w:r>
        <w:separator/>
      </w:r>
    </w:p>
  </w:endnote>
  <w:endnote w:type="continuationSeparator" w:id="0">
    <w:p w:rsidR="00DB326A" w:rsidRDefault="00DB326A" w:rsidP="00AC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219576"/>
      <w:docPartObj>
        <w:docPartGallery w:val="Page Numbers (Bottom of Page)"/>
        <w:docPartUnique/>
      </w:docPartObj>
    </w:sdtPr>
    <w:sdtEndPr>
      <w:rPr>
        <w:noProof/>
      </w:rPr>
    </w:sdtEndPr>
    <w:sdtContent>
      <w:p w:rsidR="00AC3DED" w:rsidRDefault="00AC3DED">
        <w:pPr>
          <w:pStyle w:val="Footer"/>
          <w:jc w:val="right"/>
        </w:pPr>
        <w:r>
          <w:fldChar w:fldCharType="begin"/>
        </w:r>
        <w:r>
          <w:instrText xml:space="preserve"> PAGE   \* MERGEFORMAT </w:instrText>
        </w:r>
        <w:r>
          <w:fldChar w:fldCharType="separate"/>
        </w:r>
        <w:r w:rsidR="005F55DE">
          <w:rPr>
            <w:noProof/>
          </w:rPr>
          <w:t>9</w:t>
        </w:r>
        <w:r>
          <w:rPr>
            <w:noProof/>
          </w:rPr>
          <w:fldChar w:fldCharType="end"/>
        </w:r>
      </w:p>
    </w:sdtContent>
  </w:sdt>
  <w:p w:rsidR="00AC3DED" w:rsidRDefault="00AC3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6A" w:rsidRDefault="00DB326A" w:rsidP="00AC3DED">
      <w:r>
        <w:separator/>
      </w:r>
    </w:p>
  </w:footnote>
  <w:footnote w:type="continuationSeparator" w:id="0">
    <w:p w:rsidR="00DB326A" w:rsidRDefault="00DB326A" w:rsidP="00AC3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19B4"/>
    <w:multiLevelType w:val="multilevel"/>
    <w:tmpl w:val="6FC44A5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B9229C7"/>
    <w:multiLevelType w:val="hybridMultilevel"/>
    <w:tmpl w:val="B844A3EA"/>
    <w:lvl w:ilvl="0" w:tplc="33162D1E">
      <w:start w:val="1"/>
      <w:numFmt w:val="lowerLetter"/>
      <w:lvlText w:val="(%1)"/>
      <w:lvlJc w:val="left"/>
      <w:pPr>
        <w:tabs>
          <w:tab w:val="num" w:pos="1440"/>
        </w:tabs>
        <w:ind w:left="1440" w:hanging="720"/>
      </w:pPr>
    </w:lvl>
    <w:lvl w:ilvl="1" w:tplc="E2764D86">
      <w:start w:val="14"/>
      <w:numFmt w:val="decimal"/>
      <w:lvlText w:val="%2"/>
      <w:lvlJc w:val="left"/>
      <w:pPr>
        <w:tabs>
          <w:tab w:val="num" w:pos="2160"/>
        </w:tabs>
        <w:ind w:left="2160" w:hanging="72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nsid w:val="2BFE7340"/>
    <w:multiLevelType w:val="hybridMultilevel"/>
    <w:tmpl w:val="229ACEC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
    <w:nsid w:val="451172BB"/>
    <w:multiLevelType w:val="hybridMultilevel"/>
    <w:tmpl w:val="B694FD58"/>
    <w:lvl w:ilvl="0" w:tplc="90B87EEC">
      <w:start w:val="1"/>
      <w:numFmt w:val="lowerLetter"/>
      <w:lvlText w:val="(%1)"/>
      <w:lvlJc w:val="left"/>
      <w:pPr>
        <w:ind w:left="1035" w:hanging="360"/>
      </w:pPr>
    </w:lvl>
    <w:lvl w:ilvl="1" w:tplc="08090019">
      <w:start w:val="1"/>
      <w:numFmt w:val="lowerLetter"/>
      <w:lvlText w:val="%2."/>
      <w:lvlJc w:val="left"/>
      <w:pPr>
        <w:ind w:left="1755" w:hanging="360"/>
      </w:pPr>
    </w:lvl>
    <w:lvl w:ilvl="2" w:tplc="0809001B">
      <w:start w:val="1"/>
      <w:numFmt w:val="lowerRoman"/>
      <w:lvlText w:val="%3."/>
      <w:lvlJc w:val="right"/>
      <w:pPr>
        <w:ind w:left="2475" w:hanging="180"/>
      </w:pPr>
    </w:lvl>
    <w:lvl w:ilvl="3" w:tplc="0809000F">
      <w:start w:val="1"/>
      <w:numFmt w:val="decimal"/>
      <w:lvlText w:val="%4."/>
      <w:lvlJc w:val="left"/>
      <w:pPr>
        <w:ind w:left="3195" w:hanging="360"/>
      </w:pPr>
    </w:lvl>
    <w:lvl w:ilvl="4" w:tplc="08090019">
      <w:start w:val="1"/>
      <w:numFmt w:val="lowerLetter"/>
      <w:lvlText w:val="%5."/>
      <w:lvlJc w:val="left"/>
      <w:pPr>
        <w:ind w:left="3915" w:hanging="360"/>
      </w:pPr>
    </w:lvl>
    <w:lvl w:ilvl="5" w:tplc="0809001B">
      <w:start w:val="1"/>
      <w:numFmt w:val="lowerRoman"/>
      <w:lvlText w:val="%6."/>
      <w:lvlJc w:val="right"/>
      <w:pPr>
        <w:ind w:left="4635" w:hanging="180"/>
      </w:pPr>
    </w:lvl>
    <w:lvl w:ilvl="6" w:tplc="0809000F">
      <w:start w:val="1"/>
      <w:numFmt w:val="decimal"/>
      <w:lvlText w:val="%7."/>
      <w:lvlJc w:val="left"/>
      <w:pPr>
        <w:ind w:left="5355" w:hanging="360"/>
      </w:pPr>
    </w:lvl>
    <w:lvl w:ilvl="7" w:tplc="08090019">
      <w:start w:val="1"/>
      <w:numFmt w:val="lowerLetter"/>
      <w:lvlText w:val="%8."/>
      <w:lvlJc w:val="left"/>
      <w:pPr>
        <w:ind w:left="6075" w:hanging="360"/>
      </w:pPr>
    </w:lvl>
    <w:lvl w:ilvl="8" w:tplc="0809001B">
      <w:start w:val="1"/>
      <w:numFmt w:val="lowerRoman"/>
      <w:lvlText w:val="%9."/>
      <w:lvlJc w:val="right"/>
      <w:pPr>
        <w:ind w:left="6795" w:hanging="180"/>
      </w:pPr>
    </w:lvl>
  </w:abstractNum>
  <w:abstractNum w:abstractNumId="4">
    <w:nsid w:val="5B4F3422"/>
    <w:multiLevelType w:val="hybridMultilevel"/>
    <w:tmpl w:val="9E6AD4A2"/>
    <w:lvl w:ilvl="0" w:tplc="BB8A3B48">
      <w:start w:val="1"/>
      <w:numFmt w:val="lowerRoman"/>
      <w:lvlText w:val="(%1)"/>
      <w:lvlJc w:val="left"/>
      <w:pPr>
        <w:ind w:left="2080" w:hanging="720"/>
      </w:pPr>
    </w:lvl>
    <w:lvl w:ilvl="1" w:tplc="08090019">
      <w:start w:val="1"/>
      <w:numFmt w:val="lowerLetter"/>
      <w:lvlText w:val="%2."/>
      <w:lvlJc w:val="left"/>
      <w:pPr>
        <w:ind w:left="2440" w:hanging="360"/>
      </w:pPr>
    </w:lvl>
    <w:lvl w:ilvl="2" w:tplc="0809001B">
      <w:start w:val="1"/>
      <w:numFmt w:val="lowerRoman"/>
      <w:lvlText w:val="%3."/>
      <w:lvlJc w:val="right"/>
      <w:pPr>
        <w:ind w:left="3160" w:hanging="180"/>
      </w:pPr>
    </w:lvl>
    <w:lvl w:ilvl="3" w:tplc="0809000F">
      <w:start w:val="1"/>
      <w:numFmt w:val="decimal"/>
      <w:lvlText w:val="%4."/>
      <w:lvlJc w:val="left"/>
      <w:pPr>
        <w:ind w:left="3880" w:hanging="360"/>
      </w:pPr>
    </w:lvl>
    <w:lvl w:ilvl="4" w:tplc="08090019">
      <w:start w:val="1"/>
      <w:numFmt w:val="lowerLetter"/>
      <w:lvlText w:val="%5."/>
      <w:lvlJc w:val="left"/>
      <w:pPr>
        <w:ind w:left="4600" w:hanging="360"/>
      </w:pPr>
    </w:lvl>
    <w:lvl w:ilvl="5" w:tplc="0809001B">
      <w:start w:val="1"/>
      <w:numFmt w:val="lowerRoman"/>
      <w:lvlText w:val="%6."/>
      <w:lvlJc w:val="right"/>
      <w:pPr>
        <w:ind w:left="5320" w:hanging="180"/>
      </w:pPr>
    </w:lvl>
    <w:lvl w:ilvl="6" w:tplc="0809000F">
      <w:start w:val="1"/>
      <w:numFmt w:val="decimal"/>
      <w:lvlText w:val="%7."/>
      <w:lvlJc w:val="left"/>
      <w:pPr>
        <w:ind w:left="6040" w:hanging="360"/>
      </w:pPr>
    </w:lvl>
    <w:lvl w:ilvl="7" w:tplc="08090019">
      <w:start w:val="1"/>
      <w:numFmt w:val="lowerLetter"/>
      <w:lvlText w:val="%8."/>
      <w:lvlJc w:val="left"/>
      <w:pPr>
        <w:ind w:left="6760" w:hanging="360"/>
      </w:pPr>
    </w:lvl>
    <w:lvl w:ilvl="8" w:tplc="0809001B">
      <w:start w:val="1"/>
      <w:numFmt w:val="lowerRoman"/>
      <w:lvlText w:val="%9."/>
      <w:lvlJc w:val="right"/>
      <w:pPr>
        <w:ind w:left="7480" w:hanging="180"/>
      </w:pPr>
    </w:lvl>
  </w:abstractNum>
  <w:abstractNum w:abstractNumId="5">
    <w:nsid w:val="5ECE5A71"/>
    <w:multiLevelType w:val="hybridMultilevel"/>
    <w:tmpl w:val="EB4C8314"/>
    <w:lvl w:ilvl="0" w:tplc="E36C2348">
      <w:start w:val="1"/>
      <w:numFmt w:val="lowerLetter"/>
      <w:lvlText w:val="(%1)"/>
      <w:lvlJc w:val="left"/>
      <w:pPr>
        <w:ind w:left="1271" w:hanging="42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6">
    <w:nsid w:val="72E46C9B"/>
    <w:multiLevelType w:val="hybridMultilevel"/>
    <w:tmpl w:val="2058514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5C"/>
    <w:rsid w:val="000B537F"/>
    <w:rsid w:val="001461F8"/>
    <w:rsid w:val="00243D91"/>
    <w:rsid w:val="00367F53"/>
    <w:rsid w:val="004D0577"/>
    <w:rsid w:val="005F55DE"/>
    <w:rsid w:val="00672777"/>
    <w:rsid w:val="006F7580"/>
    <w:rsid w:val="00851294"/>
    <w:rsid w:val="00A3629E"/>
    <w:rsid w:val="00AC3DED"/>
    <w:rsid w:val="00BC645C"/>
    <w:rsid w:val="00CC19B8"/>
    <w:rsid w:val="00D04B54"/>
    <w:rsid w:val="00DB326A"/>
    <w:rsid w:val="00FA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5C"/>
    <w:rPr>
      <w:rFonts w:ascii="Arial" w:eastAsia="Times New Roman" w:hAnsi="Arial"/>
      <w:szCs w:val="20"/>
      <w:lang w:eastAsia="en-GB"/>
    </w:rPr>
  </w:style>
  <w:style w:type="paragraph" w:styleId="Heading1">
    <w:name w:val="heading 1"/>
    <w:basedOn w:val="Normal"/>
    <w:next w:val="Normal"/>
    <w:link w:val="Heading1Char"/>
    <w:uiPriority w:val="9"/>
    <w:qFormat/>
    <w:rsid w:val="0085129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5129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5129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51294"/>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51294"/>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51294"/>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85129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851294"/>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851294"/>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51294"/>
    <w:rPr>
      <w:szCs w:val="32"/>
    </w:rPr>
  </w:style>
  <w:style w:type="character" w:customStyle="1" w:styleId="Heading1Char">
    <w:name w:val="Heading 1 Char"/>
    <w:basedOn w:val="DefaultParagraphFont"/>
    <w:link w:val="Heading1"/>
    <w:uiPriority w:val="9"/>
    <w:rsid w:val="0085129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5129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5129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51294"/>
    <w:rPr>
      <w:rFonts w:cstheme="majorBidi"/>
      <w:b/>
      <w:bCs/>
      <w:sz w:val="28"/>
      <w:szCs w:val="28"/>
    </w:rPr>
  </w:style>
  <w:style w:type="character" w:customStyle="1" w:styleId="Heading5Char">
    <w:name w:val="Heading 5 Char"/>
    <w:basedOn w:val="DefaultParagraphFont"/>
    <w:link w:val="Heading5"/>
    <w:uiPriority w:val="9"/>
    <w:semiHidden/>
    <w:rsid w:val="00851294"/>
    <w:rPr>
      <w:rFonts w:cstheme="majorBidi"/>
      <w:b/>
      <w:bCs/>
      <w:i/>
      <w:iCs/>
      <w:sz w:val="26"/>
      <w:szCs w:val="26"/>
    </w:rPr>
  </w:style>
  <w:style w:type="character" w:customStyle="1" w:styleId="Heading6Char">
    <w:name w:val="Heading 6 Char"/>
    <w:basedOn w:val="DefaultParagraphFont"/>
    <w:link w:val="Heading6"/>
    <w:uiPriority w:val="9"/>
    <w:semiHidden/>
    <w:rsid w:val="00851294"/>
    <w:rPr>
      <w:rFonts w:cstheme="majorBidi"/>
      <w:b/>
      <w:bCs/>
    </w:rPr>
  </w:style>
  <w:style w:type="character" w:customStyle="1" w:styleId="Heading7Char">
    <w:name w:val="Heading 7 Char"/>
    <w:basedOn w:val="DefaultParagraphFont"/>
    <w:link w:val="Heading7"/>
    <w:uiPriority w:val="9"/>
    <w:semiHidden/>
    <w:rsid w:val="00851294"/>
    <w:rPr>
      <w:rFonts w:cstheme="majorBidi"/>
      <w:sz w:val="24"/>
      <w:szCs w:val="24"/>
    </w:rPr>
  </w:style>
  <w:style w:type="character" w:customStyle="1" w:styleId="Heading8Char">
    <w:name w:val="Heading 8 Char"/>
    <w:basedOn w:val="DefaultParagraphFont"/>
    <w:link w:val="Heading8"/>
    <w:uiPriority w:val="9"/>
    <w:semiHidden/>
    <w:rsid w:val="00851294"/>
    <w:rPr>
      <w:rFonts w:cstheme="majorBidi"/>
      <w:i/>
      <w:iCs/>
      <w:sz w:val="24"/>
      <w:szCs w:val="24"/>
    </w:rPr>
  </w:style>
  <w:style w:type="character" w:customStyle="1" w:styleId="Heading9Char">
    <w:name w:val="Heading 9 Char"/>
    <w:basedOn w:val="DefaultParagraphFont"/>
    <w:link w:val="Heading9"/>
    <w:uiPriority w:val="9"/>
    <w:semiHidden/>
    <w:rsid w:val="00851294"/>
    <w:rPr>
      <w:rFonts w:asciiTheme="majorHAnsi" w:eastAsiaTheme="majorEastAsia" w:hAnsiTheme="majorHAnsi" w:cstheme="majorBidi"/>
    </w:rPr>
  </w:style>
  <w:style w:type="paragraph" w:styleId="Caption">
    <w:name w:val="caption"/>
    <w:basedOn w:val="Normal"/>
    <w:next w:val="Normal"/>
    <w:uiPriority w:val="35"/>
    <w:semiHidden/>
    <w:unhideWhenUsed/>
    <w:rsid w:val="00A3629E"/>
    <w:rPr>
      <w:b/>
      <w:bCs/>
      <w:color w:val="4F81BD" w:themeColor="accent1"/>
      <w:sz w:val="18"/>
      <w:szCs w:val="18"/>
    </w:rPr>
  </w:style>
  <w:style w:type="paragraph" w:styleId="Title">
    <w:name w:val="Title"/>
    <w:basedOn w:val="Normal"/>
    <w:next w:val="Normal"/>
    <w:link w:val="TitleChar"/>
    <w:uiPriority w:val="10"/>
    <w:qFormat/>
    <w:rsid w:val="0085129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5129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5129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51294"/>
    <w:rPr>
      <w:rFonts w:asciiTheme="majorHAnsi" w:eastAsiaTheme="majorEastAsia" w:hAnsiTheme="majorHAnsi" w:cstheme="majorBidi"/>
      <w:sz w:val="24"/>
      <w:szCs w:val="24"/>
    </w:rPr>
  </w:style>
  <w:style w:type="character" w:styleId="Strong">
    <w:name w:val="Strong"/>
    <w:basedOn w:val="DefaultParagraphFont"/>
    <w:uiPriority w:val="22"/>
    <w:qFormat/>
    <w:rsid w:val="00851294"/>
    <w:rPr>
      <w:b/>
      <w:bCs/>
    </w:rPr>
  </w:style>
  <w:style w:type="character" w:styleId="Emphasis">
    <w:name w:val="Emphasis"/>
    <w:basedOn w:val="DefaultParagraphFont"/>
    <w:uiPriority w:val="20"/>
    <w:qFormat/>
    <w:rsid w:val="00851294"/>
    <w:rPr>
      <w:rFonts w:asciiTheme="minorHAnsi" w:hAnsiTheme="minorHAnsi"/>
      <w:b/>
      <w:i/>
      <w:iCs/>
    </w:rPr>
  </w:style>
  <w:style w:type="paragraph" w:styleId="ListParagraph">
    <w:name w:val="List Paragraph"/>
    <w:basedOn w:val="Normal"/>
    <w:uiPriority w:val="34"/>
    <w:qFormat/>
    <w:rsid w:val="00851294"/>
    <w:pPr>
      <w:ind w:left="720"/>
      <w:contextualSpacing/>
    </w:pPr>
  </w:style>
  <w:style w:type="paragraph" w:styleId="Quote">
    <w:name w:val="Quote"/>
    <w:basedOn w:val="Normal"/>
    <w:next w:val="Normal"/>
    <w:link w:val="QuoteChar"/>
    <w:uiPriority w:val="29"/>
    <w:qFormat/>
    <w:rsid w:val="00851294"/>
    <w:rPr>
      <w:i/>
    </w:rPr>
  </w:style>
  <w:style w:type="character" w:customStyle="1" w:styleId="QuoteChar">
    <w:name w:val="Quote Char"/>
    <w:basedOn w:val="DefaultParagraphFont"/>
    <w:link w:val="Quote"/>
    <w:uiPriority w:val="29"/>
    <w:rsid w:val="00851294"/>
    <w:rPr>
      <w:i/>
      <w:sz w:val="24"/>
      <w:szCs w:val="24"/>
    </w:rPr>
  </w:style>
  <w:style w:type="paragraph" w:styleId="IntenseQuote">
    <w:name w:val="Intense Quote"/>
    <w:basedOn w:val="Normal"/>
    <w:next w:val="Normal"/>
    <w:link w:val="IntenseQuoteChar"/>
    <w:uiPriority w:val="30"/>
    <w:qFormat/>
    <w:rsid w:val="00851294"/>
    <w:pPr>
      <w:ind w:left="720" w:right="720"/>
    </w:pPr>
    <w:rPr>
      <w:b/>
      <w:i/>
      <w:szCs w:val="22"/>
    </w:rPr>
  </w:style>
  <w:style w:type="character" w:customStyle="1" w:styleId="IntenseQuoteChar">
    <w:name w:val="Intense Quote Char"/>
    <w:basedOn w:val="DefaultParagraphFont"/>
    <w:link w:val="IntenseQuote"/>
    <w:uiPriority w:val="30"/>
    <w:rsid w:val="00851294"/>
    <w:rPr>
      <w:b/>
      <w:i/>
      <w:sz w:val="24"/>
    </w:rPr>
  </w:style>
  <w:style w:type="character" w:styleId="SubtleEmphasis">
    <w:name w:val="Subtle Emphasis"/>
    <w:uiPriority w:val="19"/>
    <w:qFormat/>
    <w:rsid w:val="00851294"/>
    <w:rPr>
      <w:i/>
      <w:color w:val="5A5A5A" w:themeColor="text1" w:themeTint="A5"/>
    </w:rPr>
  </w:style>
  <w:style w:type="character" w:styleId="IntenseEmphasis">
    <w:name w:val="Intense Emphasis"/>
    <w:basedOn w:val="DefaultParagraphFont"/>
    <w:uiPriority w:val="21"/>
    <w:qFormat/>
    <w:rsid w:val="00851294"/>
    <w:rPr>
      <w:b/>
      <w:i/>
      <w:sz w:val="24"/>
      <w:szCs w:val="24"/>
      <w:u w:val="single"/>
    </w:rPr>
  </w:style>
  <w:style w:type="character" w:styleId="SubtleReference">
    <w:name w:val="Subtle Reference"/>
    <w:basedOn w:val="DefaultParagraphFont"/>
    <w:uiPriority w:val="31"/>
    <w:qFormat/>
    <w:rsid w:val="00851294"/>
    <w:rPr>
      <w:sz w:val="24"/>
      <w:szCs w:val="24"/>
      <w:u w:val="single"/>
    </w:rPr>
  </w:style>
  <w:style w:type="character" w:styleId="IntenseReference">
    <w:name w:val="Intense Reference"/>
    <w:basedOn w:val="DefaultParagraphFont"/>
    <w:uiPriority w:val="32"/>
    <w:qFormat/>
    <w:rsid w:val="00851294"/>
    <w:rPr>
      <w:b/>
      <w:sz w:val="24"/>
      <w:u w:val="single"/>
    </w:rPr>
  </w:style>
  <w:style w:type="character" w:styleId="BookTitle">
    <w:name w:val="Book Title"/>
    <w:basedOn w:val="DefaultParagraphFont"/>
    <w:uiPriority w:val="33"/>
    <w:qFormat/>
    <w:rsid w:val="0085129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51294"/>
    <w:pPr>
      <w:outlineLvl w:val="9"/>
    </w:pPr>
  </w:style>
  <w:style w:type="paragraph" w:customStyle="1" w:styleId="Style1">
    <w:name w:val="Style1"/>
    <w:basedOn w:val="NoSpacing"/>
    <w:rsid w:val="00672777"/>
  </w:style>
  <w:style w:type="character" w:styleId="Hyperlink">
    <w:name w:val="Hyperlink"/>
    <w:semiHidden/>
    <w:unhideWhenUsed/>
    <w:rsid w:val="00BC645C"/>
    <w:rPr>
      <w:color w:val="0000FF"/>
      <w:u w:val="single"/>
    </w:rPr>
  </w:style>
  <w:style w:type="paragraph" w:styleId="Header">
    <w:name w:val="header"/>
    <w:basedOn w:val="Normal"/>
    <w:link w:val="HeaderChar"/>
    <w:uiPriority w:val="99"/>
    <w:unhideWhenUsed/>
    <w:rsid w:val="00AC3DED"/>
    <w:pPr>
      <w:tabs>
        <w:tab w:val="center" w:pos="4513"/>
        <w:tab w:val="right" w:pos="9026"/>
      </w:tabs>
    </w:pPr>
  </w:style>
  <w:style w:type="character" w:customStyle="1" w:styleId="HeaderChar">
    <w:name w:val="Header Char"/>
    <w:basedOn w:val="DefaultParagraphFont"/>
    <w:link w:val="Header"/>
    <w:uiPriority w:val="99"/>
    <w:rsid w:val="00AC3DED"/>
    <w:rPr>
      <w:rFonts w:ascii="Arial" w:eastAsia="Times New Roman" w:hAnsi="Arial"/>
      <w:szCs w:val="20"/>
      <w:lang w:eastAsia="en-GB"/>
    </w:rPr>
  </w:style>
  <w:style w:type="paragraph" w:styleId="Footer">
    <w:name w:val="footer"/>
    <w:basedOn w:val="Normal"/>
    <w:link w:val="FooterChar"/>
    <w:uiPriority w:val="99"/>
    <w:unhideWhenUsed/>
    <w:rsid w:val="00AC3DED"/>
    <w:pPr>
      <w:tabs>
        <w:tab w:val="center" w:pos="4513"/>
        <w:tab w:val="right" w:pos="9026"/>
      </w:tabs>
    </w:pPr>
  </w:style>
  <w:style w:type="character" w:customStyle="1" w:styleId="FooterChar">
    <w:name w:val="Footer Char"/>
    <w:basedOn w:val="DefaultParagraphFont"/>
    <w:link w:val="Footer"/>
    <w:uiPriority w:val="99"/>
    <w:rsid w:val="00AC3DED"/>
    <w:rPr>
      <w:rFonts w:ascii="Arial" w:eastAsia="Times New Roman" w:hAnsi="Arial"/>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5C"/>
    <w:rPr>
      <w:rFonts w:ascii="Arial" w:eastAsia="Times New Roman" w:hAnsi="Arial"/>
      <w:szCs w:val="20"/>
      <w:lang w:eastAsia="en-GB"/>
    </w:rPr>
  </w:style>
  <w:style w:type="paragraph" w:styleId="Heading1">
    <w:name w:val="heading 1"/>
    <w:basedOn w:val="Normal"/>
    <w:next w:val="Normal"/>
    <w:link w:val="Heading1Char"/>
    <w:uiPriority w:val="9"/>
    <w:qFormat/>
    <w:rsid w:val="0085129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5129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5129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51294"/>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51294"/>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51294"/>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85129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851294"/>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851294"/>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51294"/>
    <w:rPr>
      <w:szCs w:val="32"/>
    </w:rPr>
  </w:style>
  <w:style w:type="character" w:customStyle="1" w:styleId="Heading1Char">
    <w:name w:val="Heading 1 Char"/>
    <w:basedOn w:val="DefaultParagraphFont"/>
    <w:link w:val="Heading1"/>
    <w:uiPriority w:val="9"/>
    <w:rsid w:val="0085129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5129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5129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51294"/>
    <w:rPr>
      <w:rFonts w:cstheme="majorBidi"/>
      <w:b/>
      <w:bCs/>
      <w:sz w:val="28"/>
      <w:szCs w:val="28"/>
    </w:rPr>
  </w:style>
  <w:style w:type="character" w:customStyle="1" w:styleId="Heading5Char">
    <w:name w:val="Heading 5 Char"/>
    <w:basedOn w:val="DefaultParagraphFont"/>
    <w:link w:val="Heading5"/>
    <w:uiPriority w:val="9"/>
    <w:semiHidden/>
    <w:rsid w:val="00851294"/>
    <w:rPr>
      <w:rFonts w:cstheme="majorBidi"/>
      <w:b/>
      <w:bCs/>
      <w:i/>
      <w:iCs/>
      <w:sz w:val="26"/>
      <w:szCs w:val="26"/>
    </w:rPr>
  </w:style>
  <w:style w:type="character" w:customStyle="1" w:styleId="Heading6Char">
    <w:name w:val="Heading 6 Char"/>
    <w:basedOn w:val="DefaultParagraphFont"/>
    <w:link w:val="Heading6"/>
    <w:uiPriority w:val="9"/>
    <w:semiHidden/>
    <w:rsid w:val="00851294"/>
    <w:rPr>
      <w:rFonts w:cstheme="majorBidi"/>
      <w:b/>
      <w:bCs/>
    </w:rPr>
  </w:style>
  <w:style w:type="character" w:customStyle="1" w:styleId="Heading7Char">
    <w:name w:val="Heading 7 Char"/>
    <w:basedOn w:val="DefaultParagraphFont"/>
    <w:link w:val="Heading7"/>
    <w:uiPriority w:val="9"/>
    <w:semiHidden/>
    <w:rsid w:val="00851294"/>
    <w:rPr>
      <w:rFonts w:cstheme="majorBidi"/>
      <w:sz w:val="24"/>
      <w:szCs w:val="24"/>
    </w:rPr>
  </w:style>
  <w:style w:type="character" w:customStyle="1" w:styleId="Heading8Char">
    <w:name w:val="Heading 8 Char"/>
    <w:basedOn w:val="DefaultParagraphFont"/>
    <w:link w:val="Heading8"/>
    <w:uiPriority w:val="9"/>
    <w:semiHidden/>
    <w:rsid w:val="00851294"/>
    <w:rPr>
      <w:rFonts w:cstheme="majorBidi"/>
      <w:i/>
      <w:iCs/>
      <w:sz w:val="24"/>
      <w:szCs w:val="24"/>
    </w:rPr>
  </w:style>
  <w:style w:type="character" w:customStyle="1" w:styleId="Heading9Char">
    <w:name w:val="Heading 9 Char"/>
    <w:basedOn w:val="DefaultParagraphFont"/>
    <w:link w:val="Heading9"/>
    <w:uiPriority w:val="9"/>
    <w:semiHidden/>
    <w:rsid w:val="00851294"/>
    <w:rPr>
      <w:rFonts w:asciiTheme="majorHAnsi" w:eastAsiaTheme="majorEastAsia" w:hAnsiTheme="majorHAnsi" w:cstheme="majorBidi"/>
    </w:rPr>
  </w:style>
  <w:style w:type="paragraph" w:styleId="Caption">
    <w:name w:val="caption"/>
    <w:basedOn w:val="Normal"/>
    <w:next w:val="Normal"/>
    <w:uiPriority w:val="35"/>
    <w:semiHidden/>
    <w:unhideWhenUsed/>
    <w:rsid w:val="00A3629E"/>
    <w:rPr>
      <w:b/>
      <w:bCs/>
      <w:color w:val="4F81BD" w:themeColor="accent1"/>
      <w:sz w:val="18"/>
      <w:szCs w:val="18"/>
    </w:rPr>
  </w:style>
  <w:style w:type="paragraph" w:styleId="Title">
    <w:name w:val="Title"/>
    <w:basedOn w:val="Normal"/>
    <w:next w:val="Normal"/>
    <w:link w:val="TitleChar"/>
    <w:uiPriority w:val="10"/>
    <w:qFormat/>
    <w:rsid w:val="0085129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5129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5129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51294"/>
    <w:rPr>
      <w:rFonts w:asciiTheme="majorHAnsi" w:eastAsiaTheme="majorEastAsia" w:hAnsiTheme="majorHAnsi" w:cstheme="majorBidi"/>
      <w:sz w:val="24"/>
      <w:szCs w:val="24"/>
    </w:rPr>
  </w:style>
  <w:style w:type="character" w:styleId="Strong">
    <w:name w:val="Strong"/>
    <w:basedOn w:val="DefaultParagraphFont"/>
    <w:uiPriority w:val="22"/>
    <w:qFormat/>
    <w:rsid w:val="00851294"/>
    <w:rPr>
      <w:b/>
      <w:bCs/>
    </w:rPr>
  </w:style>
  <w:style w:type="character" w:styleId="Emphasis">
    <w:name w:val="Emphasis"/>
    <w:basedOn w:val="DefaultParagraphFont"/>
    <w:uiPriority w:val="20"/>
    <w:qFormat/>
    <w:rsid w:val="00851294"/>
    <w:rPr>
      <w:rFonts w:asciiTheme="minorHAnsi" w:hAnsiTheme="minorHAnsi"/>
      <w:b/>
      <w:i/>
      <w:iCs/>
    </w:rPr>
  </w:style>
  <w:style w:type="paragraph" w:styleId="ListParagraph">
    <w:name w:val="List Paragraph"/>
    <w:basedOn w:val="Normal"/>
    <w:uiPriority w:val="34"/>
    <w:qFormat/>
    <w:rsid w:val="00851294"/>
    <w:pPr>
      <w:ind w:left="720"/>
      <w:contextualSpacing/>
    </w:pPr>
  </w:style>
  <w:style w:type="paragraph" w:styleId="Quote">
    <w:name w:val="Quote"/>
    <w:basedOn w:val="Normal"/>
    <w:next w:val="Normal"/>
    <w:link w:val="QuoteChar"/>
    <w:uiPriority w:val="29"/>
    <w:qFormat/>
    <w:rsid w:val="00851294"/>
    <w:rPr>
      <w:i/>
    </w:rPr>
  </w:style>
  <w:style w:type="character" w:customStyle="1" w:styleId="QuoteChar">
    <w:name w:val="Quote Char"/>
    <w:basedOn w:val="DefaultParagraphFont"/>
    <w:link w:val="Quote"/>
    <w:uiPriority w:val="29"/>
    <w:rsid w:val="00851294"/>
    <w:rPr>
      <w:i/>
      <w:sz w:val="24"/>
      <w:szCs w:val="24"/>
    </w:rPr>
  </w:style>
  <w:style w:type="paragraph" w:styleId="IntenseQuote">
    <w:name w:val="Intense Quote"/>
    <w:basedOn w:val="Normal"/>
    <w:next w:val="Normal"/>
    <w:link w:val="IntenseQuoteChar"/>
    <w:uiPriority w:val="30"/>
    <w:qFormat/>
    <w:rsid w:val="00851294"/>
    <w:pPr>
      <w:ind w:left="720" w:right="720"/>
    </w:pPr>
    <w:rPr>
      <w:b/>
      <w:i/>
      <w:szCs w:val="22"/>
    </w:rPr>
  </w:style>
  <w:style w:type="character" w:customStyle="1" w:styleId="IntenseQuoteChar">
    <w:name w:val="Intense Quote Char"/>
    <w:basedOn w:val="DefaultParagraphFont"/>
    <w:link w:val="IntenseQuote"/>
    <w:uiPriority w:val="30"/>
    <w:rsid w:val="00851294"/>
    <w:rPr>
      <w:b/>
      <w:i/>
      <w:sz w:val="24"/>
    </w:rPr>
  </w:style>
  <w:style w:type="character" w:styleId="SubtleEmphasis">
    <w:name w:val="Subtle Emphasis"/>
    <w:uiPriority w:val="19"/>
    <w:qFormat/>
    <w:rsid w:val="00851294"/>
    <w:rPr>
      <w:i/>
      <w:color w:val="5A5A5A" w:themeColor="text1" w:themeTint="A5"/>
    </w:rPr>
  </w:style>
  <w:style w:type="character" w:styleId="IntenseEmphasis">
    <w:name w:val="Intense Emphasis"/>
    <w:basedOn w:val="DefaultParagraphFont"/>
    <w:uiPriority w:val="21"/>
    <w:qFormat/>
    <w:rsid w:val="00851294"/>
    <w:rPr>
      <w:b/>
      <w:i/>
      <w:sz w:val="24"/>
      <w:szCs w:val="24"/>
      <w:u w:val="single"/>
    </w:rPr>
  </w:style>
  <w:style w:type="character" w:styleId="SubtleReference">
    <w:name w:val="Subtle Reference"/>
    <w:basedOn w:val="DefaultParagraphFont"/>
    <w:uiPriority w:val="31"/>
    <w:qFormat/>
    <w:rsid w:val="00851294"/>
    <w:rPr>
      <w:sz w:val="24"/>
      <w:szCs w:val="24"/>
      <w:u w:val="single"/>
    </w:rPr>
  </w:style>
  <w:style w:type="character" w:styleId="IntenseReference">
    <w:name w:val="Intense Reference"/>
    <w:basedOn w:val="DefaultParagraphFont"/>
    <w:uiPriority w:val="32"/>
    <w:qFormat/>
    <w:rsid w:val="00851294"/>
    <w:rPr>
      <w:b/>
      <w:sz w:val="24"/>
      <w:u w:val="single"/>
    </w:rPr>
  </w:style>
  <w:style w:type="character" w:styleId="BookTitle">
    <w:name w:val="Book Title"/>
    <w:basedOn w:val="DefaultParagraphFont"/>
    <w:uiPriority w:val="33"/>
    <w:qFormat/>
    <w:rsid w:val="0085129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51294"/>
    <w:pPr>
      <w:outlineLvl w:val="9"/>
    </w:pPr>
  </w:style>
  <w:style w:type="paragraph" w:customStyle="1" w:styleId="Style1">
    <w:name w:val="Style1"/>
    <w:basedOn w:val="NoSpacing"/>
    <w:rsid w:val="00672777"/>
  </w:style>
  <w:style w:type="character" w:styleId="Hyperlink">
    <w:name w:val="Hyperlink"/>
    <w:semiHidden/>
    <w:unhideWhenUsed/>
    <w:rsid w:val="00BC645C"/>
    <w:rPr>
      <w:color w:val="0000FF"/>
      <w:u w:val="single"/>
    </w:rPr>
  </w:style>
  <w:style w:type="paragraph" w:styleId="Header">
    <w:name w:val="header"/>
    <w:basedOn w:val="Normal"/>
    <w:link w:val="HeaderChar"/>
    <w:uiPriority w:val="99"/>
    <w:unhideWhenUsed/>
    <w:rsid w:val="00AC3DED"/>
    <w:pPr>
      <w:tabs>
        <w:tab w:val="center" w:pos="4513"/>
        <w:tab w:val="right" w:pos="9026"/>
      </w:tabs>
    </w:pPr>
  </w:style>
  <w:style w:type="character" w:customStyle="1" w:styleId="HeaderChar">
    <w:name w:val="Header Char"/>
    <w:basedOn w:val="DefaultParagraphFont"/>
    <w:link w:val="Header"/>
    <w:uiPriority w:val="99"/>
    <w:rsid w:val="00AC3DED"/>
    <w:rPr>
      <w:rFonts w:ascii="Arial" w:eastAsia="Times New Roman" w:hAnsi="Arial"/>
      <w:szCs w:val="20"/>
      <w:lang w:eastAsia="en-GB"/>
    </w:rPr>
  </w:style>
  <w:style w:type="paragraph" w:styleId="Footer">
    <w:name w:val="footer"/>
    <w:basedOn w:val="Normal"/>
    <w:link w:val="FooterChar"/>
    <w:uiPriority w:val="99"/>
    <w:unhideWhenUsed/>
    <w:rsid w:val="00AC3DED"/>
    <w:pPr>
      <w:tabs>
        <w:tab w:val="center" w:pos="4513"/>
        <w:tab w:val="right" w:pos="9026"/>
      </w:tabs>
    </w:pPr>
  </w:style>
  <w:style w:type="character" w:customStyle="1" w:styleId="FooterChar">
    <w:name w:val="Footer Char"/>
    <w:basedOn w:val="DefaultParagraphFont"/>
    <w:link w:val="Footer"/>
    <w:uiPriority w:val="99"/>
    <w:rsid w:val="00AC3DED"/>
    <w:rPr>
      <w:rFonts w:ascii="Arial" w:eastAsia="Times New Roman" w:hAnsi="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westlaw.co.uk/maf/wluk/app/document?src=doc&amp;linktype=ref&amp;&amp;context=7&amp;crumb-action=replace&amp;docguid=I5FE396B0E42311DAA7CF8F68F6EE57AB"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581CB4EB5CF4EA981469144F8820B" ma:contentTypeVersion="1" ma:contentTypeDescription="Create a new document." ma:contentTypeScope="" ma:versionID="1f3df47ed19bd2caad1b837ee513c85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1F274B-39E6-44ED-811A-653EF99E442F}"/>
</file>

<file path=customXml/itemProps2.xml><?xml version="1.0" encoding="utf-8"?>
<ds:datastoreItem xmlns:ds="http://schemas.openxmlformats.org/officeDocument/2006/customXml" ds:itemID="{838EFF01-D02C-46A9-8F71-CE7CD7D48E7D}"/>
</file>

<file path=customXml/itemProps3.xml><?xml version="1.0" encoding="utf-8"?>
<ds:datastoreItem xmlns:ds="http://schemas.openxmlformats.org/officeDocument/2006/customXml" ds:itemID="{0D81732C-D660-4461-9884-C747F9484655}"/>
</file>

<file path=docProps/app.xml><?xml version="1.0" encoding="utf-8"?>
<Properties xmlns="http://schemas.openxmlformats.org/officeDocument/2006/extended-properties" xmlns:vt="http://schemas.openxmlformats.org/officeDocument/2006/docPropsVTypes">
  <Template>Normal</Template>
  <TotalTime>99</TotalTime>
  <Pages>1</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cp:revision>
  <cp:lastPrinted>2012-07-16T13:15:00Z</cp:lastPrinted>
  <dcterms:created xsi:type="dcterms:W3CDTF">2012-07-16T13:02:00Z</dcterms:created>
  <dcterms:modified xsi:type="dcterms:W3CDTF">2012-07-31T12:32:00Z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0x010100614581CB4EB5CF4EA981469144F8820B</vt:lpwstr>
  </property>
</Properties>
</file>